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5"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End w:id="25"/>
    <w:bookmarkStart w:id="30" w:name="person"/>
    <w:p>
      <w:pPr>
        <w:pStyle w:val="Heading1"/>
      </w:pPr>
      <w:r>
        <w:t xml:space="preserve">Person</w:t>
      </w:r>
    </w:p>
    <w:bookmarkStart w:id="26"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6"/>
    <w:bookmarkStart w:id="29" w:name="technische-struktur"/>
    <w:p>
      <w:pPr>
        <w:pStyle w:val="Heading2"/>
      </w:pPr>
      <w:r>
        <w:t xml:space="preserve">Technische Struktur</w:t>
      </w:r>
    </w:p>
    <w:bookmarkStart w:id="27"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8"/>
    <w:bookmarkEnd w:id="29"/>
    <w:bookmarkEnd w:id="30"/>
    <w:bookmarkStart w:id="3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zu vergeben (bspw. Anzeigename mit Titel, Anstellung, etc.). [en] 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 [en] 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 [en] 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 [en] 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 [en] 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 [de] 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 [en] 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 [en] 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 [en] 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 [en] 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 [en] 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 [en] 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 [en] 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1"/>
      </w:pPr>
      <w:r>
        <w:t xml:space="preserve">Class: Name</w:t>
      </w:r>
    </w:p>
    <w:p>
      <w:pPr>
        <w:pStyle w:val="FirstParagraph"/>
      </w:pPr>
      <w:r>
        <w:rPr>
          <w:iCs/>
          <w:i/>
        </w:rPr>
        <w:t xml:space="preserve">[de] Ein Name mit einem Typ (z.B. Rufname, amtlicher Name) und einem Wert und einer zeitlichen Gültigkeit.</w:t>
      </w:r>
    </w:p>
    <w:p>
      <w:pPr>
        <w:pStyle w:val="BodyText"/>
      </w:pPr>
      <w:r>
        <w:rPr>
          <w:iCs/>
          <w:i/>
        </w:rPr>
        <w:t xml:space="preserve">[en] A name with a type (e.g., call name, official name) and a value.</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[de] Typ des Namens. [en] Type of name.</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45" w:name="class-address"/>
    <w:p>
      <w:pPr>
        <w:pStyle w:val="Heading1"/>
      </w:pPr>
      <w:r>
        <w:t xml:space="preserve">Class: Address</w:t>
      </w:r>
    </w:p>
    <w:p>
      <w:pPr>
        <w:pStyle w:val="FirstParagraph"/>
      </w:pPr>
      <w:r>
        <w:rPr>
          <w:iCs/>
          <w:i/>
        </w:rPr>
        <w:t xml:space="preserve">[de] Eine Adresse mit einem Typ (z.B. Privatadresse, Geschäftsadresse) und einem Wert.</w:t>
      </w:r>
    </w:p>
    <w:p>
      <w:pPr>
        <w:pStyle w:val="BodyText"/>
      </w:pPr>
      <w:r>
        <w:rPr>
          <w:iCs/>
          <w:i/>
        </w:rPr>
        <w:t xml:space="preserve">[en] An address with a type (e.g., private address, business address) and a value.</w:t>
      </w:r>
    </w:p>
    <w:p>
      <w:pPr>
        <w:pStyle w:val="BodyText"/>
      </w:pPr>
      <w:r>
        <w:t xml:space="preserve">__</w:t>
      </w:r>
    </w:p>
    <w:bookmarkStart w:id="40"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[de] Typ der Adresse. [en] 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URI der Adresse. [en] 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Strassenadresse. [en] 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Postleitzahl. [en] 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Ort. [en] Locality.</w:t>
            </w:r>
          </w:p>
        </w:tc>
      </w:tr>
    </w:tbl>
    <w:bookmarkEnd w:id="40"/>
    <w:bookmarkStart w:id="41"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41"/>
    <w:bookmarkStart w:id="44" w:name="examples-1"/>
    <w:p>
      <w:pPr>
        <w:pStyle w:val="Heading3"/>
      </w:pPr>
      <w:r>
        <w:t xml:space="preserve">Examples</w:t>
      </w:r>
    </w:p>
    <w:bookmarkStart w:id="42"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42"/>
    <w:bookmarkStart w:id="43"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3"/>
    <w:bookmarkEnd w:id="44"/>
    <w:bookmarkEnd w:id="45"/>
    <w:bookmarkStart w:id="48" w:name="enum-addresstypeenum"/>
    <w:p>
      <w:pPr>
        <w:pStyle w:val="Heading1"/>
      </w:pPr>
      <w:r>
        <w:t xml:space="preserve">Enum: AddressTypeEnum</w:t>
      </w:r>
    </w:p>
    <w:p>
      <w:pPr>
        <w:pStyle w:val="FirstParagraph"/>
      </w:pPr>
      <w:r>
        <w:rPr>
          <w:iCs/>
          <w:i/>
        </w:rPr>
        <w:t xml:space="preserve">[en] Types of addresses.</w:t>
      </w:r>
    </w:p>
    <w:p>
      <w:pPr>
        <w:pStyle w:val="BodyText"/>
      </w:pPr>
      <w:r>
        <w:rPr>
          <w:iCs/>
          <w:i/>
        </w:rPr>
        <w:t xml:space="preserve">[de] Adresstypen.</w:t>
      </w:r>
    </w:p>
    <w:p>
      <w:pPr>
        <w:pStyle w:val="BodyText"/>
      </w:pPr>
      <w:r>
        <w:t xml:space="preserve">__</w:t>
      </w:r>
    </w:p>
    <w:p>
      <w:pPr>
        <w:pStyle w:val="BodyText"/>
      </w:pPr>
      <w:r>
        <w:t xml:space="preserve">URI:</w:t>
      </w:r>
      <w:r>
        <w:t xml:space="preserve"> </w:t>
      </w:r>
      <w:hyperlink r:id="rId46">
        <w:r>
          <w:rPr>
            <w:rStyle w:val="Hyperlink"/>
          </w:rPr>
          <w:t xml:space="preserve">act:AddressTypeEnum</w:t>
        </w:r>
      </w:hyperlink>
    </w:p>
    <w:bookmarkStart w:id="47"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[en] 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[en] 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[en] Local address</w:t>
            </w:r>
          </w:p>
        </w:tc>
      </w:tr>
    </w:tbl>
    <w:bookmarkEnd w:id="47"/>
    <w:bookmarkEnd w:id="48"/>
    <w:bookmarkStart w:id="51" w:name="class-languageproficiency"/>
    <w:p>
      <w:pPr>
        <w:pStyle w:val="Heading1"/>
      </w:pPr>
      <w:r>
        <w:t xml:space="preserve">Class: LanguageProficiency</w:t>
      </w:r>
    </w:p>
    <w:p>
      <w:pPr>
        <w:pStyle w:val="FirstParagraph"/>
      </w:pPr>
      <w:r>
        <w:rPr>
          <w:iCs/>
          <w:i/>
        </w:rPr>
        <w:t xml:space="preserve">[de] Sprachkenntnisse einer Person mit Angabe der Sprache und ob es sich um die bevorzugte Sprache oder die Muttersprache handelt.</w:t>
      </w:r>
    </w:p>
    <w:p>
      <w:pPr>
        <w:pStyle w:val="BodyText"/>
      </w:pPr>
      <w:r>
        <w:rPr>
          <w:iCs/>
          <w:i/>
        </w:rPr>
        <w:t xml:space="preserve">[en] Language proficiency of a person indicating the language and whether it is the preferred language or native language.</w:t>
      </w:r>
    </w:p>
    <w:p>
      <w:pPr>
        <w:pStyle w:val="BodyText"/>
      </w:pPr>
      <w:r>
        <w:t xml:space="preserve">__</w:t>
      </w:r>
    </w:p>
    <w:bookmarkStart w:id="49"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 [en] 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bevorzugte Sprache handelt. [en] 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Muttersprache handelt. [en] Indicates if this is the native language.</w:t>
            </w:r>
          </w:p>
        </w:tc>
      </w:tr>
    </w:tbl>
    <w:bookmarkEnd w:id="49"/>
    <w:bookmarkStart w:id="50"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54" w:name="class-citizenship"/>
    <w:p>
      <w:pPr>
        <w:pStyle w:val="Heading1"/>
      </w:pPr>
      <w:r>
        <w:t xml:space="preserve">Class: Citizenship</w:t>
      </w:r>
    </w:p>
    <w:p>
      <w:pPr>
        <w:pStyle w:val="FirstParagraph"/>
      </w:pPr>
      <w:r>
        <w:rPr>
          <w:iCs/>
          <w:i/>
        </w:rPr>
        <w:t xml:space="preserve">[de] Staatsangehörigkeit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BodyText"/>
      </w:pPr>
      <w:r>
        <w:rPr>
          <w:iCs/>
          <w:i/>
        </w:rPr>
        <w:t xml:space="preserve">[en] 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2"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ISO 3166 Ländercode. [en] 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2"/>
    <w:bookmarkStart w:id="53"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3"/>
    <w:bookmarkEnd w:id="54"/>
    <w:bookmarkStart w:id="57" w:name="class-gender"/>
    <w:p>
      <w:pPr>
        <w:pStyle w:val="Heading1"/>
      </w:pPr>
      <w:r>
        <w:t xml:space="preserve">Class: Gender</w:t>
      </w:r>
    </w:p>
    <w:p>
      <w:pPr>
        <w:pStyle w:val="FirstParagraph"/>
      </w:pPr>
      <w:r>
        <w:rPr>
          <w:iCs/>
          <w:i/>
        </w:rPr>
        <w:t xml:space="preserve">[de] Geschlecht einer Person mit Angabe eines Geschlechtscodes und der zeitlichen Gültigkeit.</w:t>
      </w:r>
    </w:p>
    <w:p>
      <w:pPr>
        <w:pStyle w:val="BodyText"/>
      </w:pPr>
      <w:r>
        <w:rPr>
          <w:iCs/>
          <w:i/>
        </w:rPr>
        <w:t xml:space="preserve">[en] Gender of a person indicating a gender code and temporal validity.</w:t>
      </w:r>
    </w:p>
    <w:p>
      <w:pPr>
        <w:pStyle w:val="BodyText"/>
      </w:pPr>
      <w:r>
        <w:t xml:space="preserve">__</w:t>
      </w:r>
    </w:p>
    <w:bookmarkStart w:id="55"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Geschlechtscode (z.B. gemäß ISO 5218). [en] Gender code (e.g., according to ISO 5218).</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[de] Von der Person verwendete Pronomen. [en] 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5"/>
    <w:bookmarkStart w:id="56" w:name="usages-5"/>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6"/>
    <w:bookmarkEnd w:id="57"/>
    <w:bookmarkStart w:id="63" w:name="class-occupation"/>
    <w:p>
      <w:pPr>
        <w:pStyle w:val="Heading1"/>
      </w:pPr>
      <w:r>
        <w:t xml:space="preserve">Class: Occupation</w:t>
      </w:r>
    </w:p>
    <w:p>
      <w:pPr>
        <w:pStyle w:val="FirstParagraph"/>
      </w:pPr>
      <w:r>
        <w:rPr>
          <w:iCs/>
          <w:i/>
        </w:rPr>
        <w:t xml:space="preserve">[de] Beruf oder Tätigkeit einer Person mit Angabe eines Labels, eines ISCO-19 Codes, ob die Position bezahlt ist, und der zeitlichen Gültigkeit.</w:t>
      </w:r>
    </w:p>
    <w:p>
      <w:pPr>
        <w:pStyle w:val="BodyText"/>
      </w:pPr>
      <w:r>
        <w:rPr>
          <w:iCs/>
          <w:i/>
        </w:rPr>
        <w:t xml:space="preserve">[en] Occupation or profession of a person indicating a label, an ISCO-19 code, whether the position is paid, and temporal validity.</w:t>
      </w:r>
    </w:p>
    <w:p>
      <w:pPr>
        <w:pStyle w:val="BodyText"/>
      </w:pPr>
      <w:r>
        <w:t xml:space="preserve">__</w:t>
      </w:r>
    </w:p>
    <w:bookmarkStart w:id="58"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ISCO-19 Code der Tätigkeit. [en] 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enterprise_uid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UID des Unternehmens. [en] UID of the enterprise.</w:t>
            </w:r>
          </w:p>
        </w:tc>
      </w:tr>
      <w:tr>
        <w:tc>
          <w:tcPr/>
          <w:p>
            <w:pPr>
              <w:pStyle w:val="Compact"/>
              <w:jc w:val="left"/>
            </w:pPr>
            <w:r>
              <w:t xml:space="preserve">enterprise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Name des Unternehmens. [en] Name of the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58"/>
    <w:bookmarkStart w:id="59"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59"/>
    <w:bookmarkStart w:id="62" w:name="examples-2"/>
    <w:p>
      <w:pPr>
        <w:pStyle w:val="Heading3"/>
      </w:pPr>
      <w:r>
        <w:t xml:space="preserve">Examples</w:t>
      </w:r>
    </w:p>
    <w:bookmarkStart w:id="60"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0"/>
    <w:bookmarkStart w:id="61"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1"/>
    <w:bookmarkEnd w:id="62"/>
    <w:bookmarkEnd w:id="63"/>
    <w:bookmarkStart w:id="66" w:name="class-training"/>
    <w:p>
      <w:pPr>
        <w:pStyle w:val="Heading1"/>
      </w:pPr>
      <w:r>
        <w:t xml:space="preserve">Class: Training</w:t>
      </w:r>
    </w:p>
    <w:p>
      <w:pPr>
        <w:pStyle w:val="FirstParagraph"/>
      </w:pPr>
      <w:r>
        <w:rPr>
          <w:iCs/>
          <w:i/>
        </w:rPr>
        <w:t xml:space="preserve">[de] Ausbildung oder Bildung einer Person mit Angabe eines Typs (z.B. Schulabschluss, Universitätsabschluss, Militärdienst), eines Labels, eines ISCO-19 Codes und der zeitlichen Gültigkeit.</w:t>
      </w:r>
    </w:p>
    <w:p>
      <w:pPr>
        <w:pStyle w:val="BodyText"/>
      </w:pPr>
      <w:r>
        <w:rPr>
          <w:iCs/>
          <w:i/>
        </w:rPr>
        <w:t xml:space="preserve">[en] Training or education of a person indicating a type (e.g., school diploma, university degree, military service), a label, an ISCO-19 code, and temporal validity.</w:t>
      </w:r>
    </w:p>
    <w:p>
      <w:pPr>
        <w:pStyle w:val="BodyText"/>
      </w:pPr>
      <w:r>
        <w:t xml:space="preserve">__</w:t>
      </w:r>
    </w:p>
    <w:bookmarkStart w:id="64"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[de] Typ der Ausbildung oder Bildung. [en] 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ISCO-19 Code der Ausbildung oder Bildung. [en] 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64"/>
    <w:bookmarkStart w:id="65"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5"/>
    <w:bookmarkEnd w:id="66"/>
    <w:bookmarkStart w:id="69" w:name="class-contact"/>
    <w:p>
      <w:pPr>
        <w:pStyle w:val="Heading1"/>
      </w:pPr>
      <w:r>
        <w:t xml:space="preserve">Class: Contact</w:t>
      </w:r>
    </w:p>
    <w:p>
      <w:pPr>
        <w:pStyle w:val="FirstParagraph"/>
      </w:pPr>
      <w:r>
        <w:rPr>
          <w:iCs/>
          <w:i/>
        </w:rPr>
        <w:t xml:space="preserve">[de] Kontaktinformation einer Person mit Angabe eines Typs (z.B. E-Mail, LinkedIn) und eines Werts.</w:t>
      </w:r>
    </w:p>
    <w:p>
      <w:pPr>
        <w:pStyle w:val="BodyText"/>
      </w:pPr>
      <w:r>
        <w:rPr>
          <w:iCs/>
          <w:i/>
        </w:rPr>
        <w:t xml:space="preserve">[en] Contact information of a person indicating a type (e.g., email, LinkedIn) and a value.</w:t>
      </w:r>
    </w:p>
    <w:p>
      <w:pPr>
        <w:pStyle w:val="BodyText"/>
      </w:pPr>
      <w:r>
        <w:t xml:space="preserve">__</w:t>
      </w:r>
    </w:p>
    <w:bookmarkStart w:id="67"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[de] Typ der Kontaktinformation. [en] 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Der eigentliche Wert einer Information neben weiteren attributen wie Typ, Sprache, etc. [en] The value of an information besides other attributes such as type, language, etc.</w:t>
            </w:r>
          </w:p>
        </w:tc>
      </w:tr>
    </w:tbl>
    <w:bookmarkEnd w:id="67"/>
    <w:bookmarkStart w:id="68"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68"/>
    <w:bookmarkEnd w:id="69"/>
    <w:bookmarkStart w:id="75" w:name="class-electoraldistrict"/>
    <w:p>
      <w:pPr>
        <w:pStyle w:val="Heading1"/>
      </w:pPr>
      <w:r>
        <w:t xml:space="preserve">Class: ElectoralDistrict</w:t>
      </w:r>
    </w:p>
    <w:p>
      <w:pPr>
        <w:pStyle w:val="FirstParagraph"/>
      </w:pPr>
      <w:r>
        <w:rPr>
          <w:iCs/>
          <w:i/>
        </w:rPr>
        <w:t xml:space="preserve">[de] Wahlkreis oder Wahlregion, in der eine Person politisch aktiv ist; mit zeitlicher Gültigkeit.</w:t>
      </w:r>
    </w:p>
    <w:p>
      <w:pPr>
        <w:pStyle w:val="BodyText"/>
      </w:pPr>
      <w:r>
        <w:rPr>
          <w:iCs/>
          <w:i/>
        </w:rPr>
        <w:t xml:space="preserve">[en] Electoral district or region where a person is politically active; with temporal validity.</w:t>
      </w:r>
    </w:p>
    <w:p>
      <w:pPr>
        <w:pStyle w:val="BodyText"/>
      </w:pPr>
      <w:r>
        <w:t xml:space="preserve">__</w:t>
      </w:r>
    </w:p>
    <w:bookmarkStart w:id="70"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Wahlkreis oder Wahlregion. [en] 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70"/>
    <w:bookmarkStart w:id="71"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71"/>
    <w:bookmarkStart w:id="74" w:name="examples-3"/>
    <w:p>
      <w:pPr>
        <w:pStyle w:val="Heading3"/>
      </w:pPr>
      <w:r>
        <w:t xml:space="preserve">Examples</w:t>
      </w:r>
    </w:p>
    <w:bookmarkStart w:id="72"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72"/>
    <w:bookmarkStart w:id="73"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73"/>
    <w:bookmarkEnd w:id="74"/>
    <w:bookmarkEnd w:id="75"/>
    <w:bookmarkStart w:id="90"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76"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76"/>
    <w:bookmarkStart w:id="77"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77"/>
    <w:bookmarkStart w:id="89" w:name="examples-4"/>
    <w:p>
      <w:pPr>
        <w:pStyle w:val="Heading3"/>
      </w:pPr>
      <w:r>
        <w:t xml:space="preserve">Examples</w:t>
      </w:r>
    </w:p>
    <w:bookmarkStart w:id="78"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8"/>
    <w:bookmarkStart w:id="79"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9"/>
    <w:bookmarkStart w:id="80"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0"/>
    <w:bookmarkStart w:id="81"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1"/>
    <w:bookmarkStart w:id="82"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2"/>
    <w:bookmarkStart w:id="83"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3"/>
    <w:bookmarkStart w:id="8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4"/>
    <w:bookmarkStart w:id="8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5"/>
    <w:bookmarkStart w:id="86"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6"/>
    <w:bookmarkStart w:id="87"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7"/>
    <w:bookmarkStart w:id="8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8"/>
    <w:bookmarkEnd w:id="89"/>
    <w:bookmarkEnd w:id="90"/>
    <w:bookmarkStart w:id="144" w:name="gruppen-und-organe-groups"/>
    <w:p>
      <w:pPr>
        <w:pStyle w:val="Heading1"/>
      </w:pPr>
      <w:r>
        <w:t xml:space="preserve">Gruppen und Organe (Groups)</w:t>
      </w:r>
    </w:p>
    <w:bookmarkStart w:id="9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91"/>
    <w:bookmarkStart w:id="92" w:name="anwendungszwecke"/>
    <w:p>
      <w:pPr>
        <w:pStyle w:val="Heading2"/>
      </w:pPr>
      <w:r>
        <w:t xml:space="preserve">Anwendungszwecke</w:t>
      </w:r>
    </w:p>
    <w:p>
      <w:pPr>
        <w:pStyle w:val="FirstParagraph"/>
      </w:pPr>
      <w:r>
        <w:t xml:space="preserve">Das Schema unterstützt verschiedene Einsatzszenarien:</w:t>
      </w:r>
    </w:p>
    <w:p>
      <w:pPr>
        <w:numPr>
          <w:ilvl w:val="0"/>
          <w:numId w:val="1005"/>
        </w:numPr>
        <w:pStyle w:val="Compact"/>
      </w:pPr>
      <w:r>
        <w:rPr>
          <w:bCs/>
          <w:b/>
        </w:rPr>
        <w:t xml:space="preserve">Organisation innerhalb eines Parlamentssystems</w:t>
      </w:r>
      <w:r>
        <w:t xml:space="preserve">: Parlamente, Kommissionen, Fraktionen</w:t>
      </w:r>
    </w:p>
    <w:p>
      <w:pPr>
        <w:numPr>
          <w:ilvl w:val="0"/>
          <w:numId w:val="1005"/>
        </w:numPr>
        <w:pStyle w:val="Compact"/>
      </w:pPr>
      <w:r>
        <w:rPr>
          <w:bCs/>
          <w:b/>
        </w:rPr>
        <w:t xml:space="preserve">Publikation an die Öffentlichkeit</w:t>
      </w:r>
      <w:r>
        <w:t xml:space="preserve">: Transparente Darstellung politischer Strukturen</w:t>
      </w:r>
    </w:p>
    <w:p>
      <w:pPr>
        <w:numPr>
          <w:ilvl w:val="0"/>
          <w:numId w:val="1005"/>
        </w:numPr>
        <w:pStyle w:val="Compact"/>
      </w:pPr>
      <w:r>
        <w:rPr>
          <w:bCs/>
          <w:b/>
        </w:rPr>
        <w:t xml:space="preserve">Systeme mit politischen Personen</w:t>
      </w:r>
      <w:r>
        <w:t xml:space="preserve">: Zuordnung von Personen zu Gruppen (Memberships)</w:t>
      </w:r>
    </w:p>
    <w:p>
      <w:pPr>
        <w:numPr>
          <w:ilvl w:val="0"/>
          <w:numId w:val="1005"/>
        </w:numPr>
        <w:pStyle w:val="Compact"/>
      </w:pPr>
      <w:r>
        <w:rPr>
          <w:bCs/>
          <w:b/>
        </w:rPr>
        <w:t xml:space="preserve">Analysen</w:t>
      </w:r>
      <w:r>
        <w:t xml:space="preserve">: Untersuchungen von Gruppenzusammensetzungen und Netzwerken</w:t>
      </w:r>
    </w:p>
    <w:p>
      <w:pPr>
        <w:numPr>
          <w:ilvl w:val="0"/>
          <w:numId w:val="1005"/>
        </w:numPr>
        <w:pStyle w:val="Compact"/>
      </w:pPr>
      <w:r>
        <w:rPr>
          <w:bCs/>
          <w:b/>
        </w:rPr>
        <w:t xml:space="preserve">Parteilisten</w:t>
      </w:r>
      <w:r>
        <w:t xml:space="preserve">: Verwaltung von Wahllisten (z.B. UNIBE Parteilisten-Datenbank)</w:t>
      </w:r>
    </w:p>
    <w:bookmarkEnd w:id="92"/>
    <w:bookmarkStart w:id="95" w:name="technische-struktur-1"/>
    <w:p>
      <w:pPr>
        <w:pStyle w:val="Heading2"/>
      </w:pPr>
      <w:r>
        <w:t xml:space="preserve">Technische Struktur</w:t>
      </w:r>
    </w:p>
    <w:bookmarkStart w:id="93"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93"/>
    <w:bookmarkStart w:id="94"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94"/>
    <w:bookmarkEnd w:id="95"/>
    <w:bookmarkStart w:id="98" w:name="datenstruktur"/>
    <w:p>
      <w:pPr>
        <w:pStyle w:val="Heading2"/>
      </w:pPr>
      <w:r>
        <w:t xml:space="preserve">Datenstruktur</w:t>
      </w:r>
    </w:p>
    <w:bookmarkStart w:id="96"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96"/>
    <w:bookmarkStart w:id="97"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97"/>
    <w:bookmarkEnd w:id="98"/>
    <w:bookmarkStart w:id="124" w:name="klassifikation-grouptypeenum"/>
    <w:p>
      <w:pPr>
        <w:pStyle w:val="Heading2"/>
      </w:pPr>
      <w:r>
        <w:t xml:space="preserve">Klassifikation: GroupTypeEnum</w:t>
      </w:r>
    </w:p>
    <w:bookmarkStart w:id="105" w:name="legislative"/>
    <w:p>
      <w:pPr>
        <w:pStyle w:val="Heading3"/>
      </w:pPr>
      <w:r>
        <w:t xml:space="preserve">Legislative</w:t>
      </w:r>
    </w:p>
    <w:bookmarkStart w:id="99"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99"/>
    <w:bookmarkStart w:id="100"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100"/>
    <w:bookmarkStart w:id="101"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101"/>
    <w:bookmarkStart w:id="102"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102"/>
    <w:bookmarkStart w:id="103"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103"/>
    <w:bookmarkStart w:id="104"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104"/>
    <w:bookmarkEnd w:id="105"/>
    <w:bookmarkStart w:id="111" w:name="exekutive"/>
    <w:p>
      <w:pPr>
        <w:pStyle w:val="Heading3"/>
      </w:pPr>
      <w:r>
        <w:t xml:space="preserve">Exekutive</w:t>
      </w:r>
    </w:p>
    <w:bookmarkStart w:id="106"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106"/>
    <w:bookmarkStart w:id="107"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107"/>
    <w:bookmarkStart w:id="108"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108"/>
    <w:bookmarkStart w:id="109"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109"/>
    <w:bookmarkStart w:id="110"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110"/>
    <w:bookmarkEnd w:id="111"/>
    <w:bookmarkStart w:id="113" w:name="judikative"/>
    <w:p>
      <w:pPr>
        <w:pStyle w:val="Heading3"/>
      </w:pPr>
      <w:r>
        <w:t xml:space="preserve">Judikative</w:t>
      </w:r>
    </w:p>
    <w:bookmarkStart w:id="112"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112"/>
    <w:bookmarkEnd w:id="113"/>
    <w:bookmarkStart w:id="119" w:name="zivilgesellschaft"/>
    <w:p>
      <w:pPr>
        <w:pStyle w:val="Heading3"/>
      </w:pPr>
      <w:r>
        <w:t xml:space="preserve">Zivilgesellschaft</w:t>
      </w:r>
    </w:p>
    <w:bookmarkStart w:id="114"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114"/>
    <w:bookmarkStart w:id="115"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115"/>
    <w:bookmarkStart w:id="116"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116"/>
    <w:bookmarkStart w:id="117"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117"/>
    <w:bookmarkStart w:id="118"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118"/>
    <w:bookmarkEnd w:id="119"/>
    <w:bookmarkStart w:id="123" w:name="andere-organe"/>
    <w:p>
      <w:pPr>
        <w:pStyle w:val="Heading3"/>
      </w:pPr>
      <w:r>
        <w:t xml:space="preserve">Andere Organe</w:t>
      </w:r>
    </w:p>
    <w:bookmarkStart w:id="120"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20"/>
    <w:bookmarkStart w:id="121"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121"/>
    <w:bookmarkStart w:id="122"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22"/>
    <w:bookmarkEnd w:id="123"/>
    <w:bookmarkEnd w:id="124"/>
    <w:bookmarkStart w:id="128"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125"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125"/>
    <w:bookmarkStart w:id="126"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126"/>
    <w:bookmarkStart w:id="127"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127"/>
    <w:bookmarkEnd w:id="128"/>
    <w:bookmarkStart w:id="129"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129"/>
    <w:bookmarkStart w:id="130"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30"/>
    <w:bookmarkStart w:id="133" w:name="partei-spezifische-attribute"/>
    <w:p>
      <w:pPr>
        <w:pStyle w:val="Heading2"/>
      </w:pPr>
      <w:r>
        <w:t xml:space="preserve">Partei-spezifische Attribute</w:t>
      </w:r>
    </w:p>
    <w:bookmarkStart w:id="131"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131"/>
    <w:bookmarkStart w:id="132"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32"/>
    <w:bookmarkEnd w:id="133"/>
    <w:bookmarkStart w:id="136" w:name="interoperabilität"/>
    <w:p>
      <w:pPr>
        <w:pStyle w:val="Heading2"/>
      </w:pPr>
      <w:r>
        <w:t xml:space="preserve">Interoperabilität</w:t>
      </w:r>
    </w:p>
    <w:bookmarkStart w:id="134"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34"/>
    <w:bookmarkStart w:id="135"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35"/>
    <w:bookmarkEnd w:id="136"/>
    <w:bookmarkStart w:id="142" w:name="anwendungsbeispiele"/>
    <w:p>
      <w:pPr>
        <w:pStyle w:val="Heading2"/>
      </w:pPr>
      <w:r>
        <w:t xml:space="preserve">Anwendungsbeispiele</w:t>
      </w:r>
    </w:p>
    <w:bookmarkStart w:id="137"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37"/>
    <w:bookmarkStart w:id="138"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38"/>
    <w:bookmarkStart w:id="139"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39"/>
    <w:bookmarkStart w:id="140"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40"/>
    <w:bookmarkStart w:id="141"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41"/>
    <w:bookmarkEnd w:id="142"/>
    <w:bookmarkStart w:id="143" w:name="referenzen"/>
    <w:p>
      <w:pPr>
        <w:pStyle w:val="Heading2"/>
      </w:pPr>
      <w:r>
        <w:t xml:space="preserve">Referenzen</w:t>
      </w:r>
    </w:p>
    <w:p>
      <w:pPr>
        <w:pStyle w:val="FirstParagraph"/>
      </w:pPr>
      <w:r>
        <w:t xml:space="preserve">Siehe vollständige LinkML-Schema-Dokumentation:</w:t>
      </w:r>
    </w:p>
    <w:bookmarkEnd w:id="143"/>
    <w:bookmarkEnd w:id="144"/>
    <w:bookmarkStart w:id="147"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45"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z.B. Partei, Kommission, Parlament oder ähnliches. Die genaue Bennenung und Beschreibung der Gruppierung wird über</w:t>
            </w:r>
            <w:r>
              <w:t xml:space="preserve"> </w:t>
            </w:r>
            <w:r>
              <w:rPr>
                <w:rStyle w:val="VerbatimChar"/>
              </w:rPr>
              <w:t xml:space="preserve">name</w:t>
            </w:r>
            <w:r>
              <w:t xml:space="preserve"> </w:t>
            </w:r>
            <w:r>
              <w:t xml:space="preserve">gemacht. [en] 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 [en] 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 [en] 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 [en] 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 Zum Beispiel die Mutterpartei, zu Kantonalenparteien. Oder zur Beschreibung der Hierarchie in Exekutive. Verknüpfung von Subkommissionen mit Kommissionen. (parentGroup wird immer im selben group_type verwendet.) [en] 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z.B. ld.admin.ch/municipality/1234, ld.admin.ch/canton/23). [en] 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 [en] 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 [en] 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45"/>
    <w:bookmarkStart w:id="146"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46"/>
    <w:bookmarkEnd w:id="147"/>
    <w:bookmarkStart w:id="190" w:name="mitgliedschaften-memberships"/>
    <w:p>
      <w:pPr>
        <w:pStyle w:val="Heading1"/>
      </w:pPr>
      <w:r>
        <w:t xml:space="preserve">Mitgliedschaften (Memberships)</w:t>
      </w:r>
    </w:p>
    <w:bookmarkStart w:id="148"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48"/>
    <w:bookmarkStart w:id="149"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6"/>
        </w:numPr>
        <w:pStyle w:val="Compact"/>
      </w:pPr>
      <w:r>
        <w:rPr>
          <w:bCs/>
          <w:b/>
        </w:rPr>
        <w:t xml:space="preserve">Parteimitgliedschaften</w:t>
      </w:r>
      <w:r>
        <w:t xml:space="preserve">: Zugehörigkeit zu politischen Parteien</w:t>
      </w:r>
    </w:p>
    <w:p>
      <w:pPr>
        <w:numPr>
          <w:ilvl w:val="0"/>
          <w:numId w:val="1006"/>
        </w:numPr>
        <w:pStyle w:val="Compact"/>
      </w:pPr>
      <w:r>
        <w:rPr>
          <w:bCs/>
          <w:b/>
        </w:rPr>
        <w:t xml:space="preserve">Fraktionsmitgliedschaften</w:t>
      </w:r>
      <w:r>
        <w:t xml:space="preserve">: Zuordnung zu parlamentarischen Fraktionen</w:t>
      </w:r>
    </w:p>
    <w:p>
      <w:pPr>
        <w:numPr>
          <w:ilvl w:val="0"/>
          <w:numId w:val="1006"/>
        </w:numPr>
        <w:pStyle w:val="Compact"/>
      </w:pPr>
      <w:r>
        <w:rPr>
          <w:bCs/>
          <w:b/>
        </w:rPr>
        <w:t xml:space="preserve">Kommissionsmitgliedschaften</w:t>
      </w:r>
      <w:r>
        <w:t xml:space="preserve">: Mitarbeit in parlamentarischen Kommissionen</w:t>
      </w:r>
    </w:p>
    <w:p>
      <w:pPr>
        <w:numPr>
          <w:ilvl w:val="0"/>
          <w:numId w:val="1006"/>
        </w:numPr>
        <w:pStyle w:val="Compact"/>
      </w:pPr>
      <w:r>
        <w:rPr>
          <w:bCs/>
          <w:b/>
        </w:rPr>
        <w:t xml:space="preserve">Parlamentsmitgliedschaften</w:t>
      </w:r>
      <w:r>
        <w:t xml:space="preserve">: Mandate in Parlamenten (Bund, Kantone, Gemeinden)</w:t>
      </w:r>
    </w:p>
    <w:p>
      <w:pPr>
        <w:numPr>
          <w:ilvl w:val="0"/>
          <w:numId w:val="1006"/>
        </w:numPr>
        <w:pStyle w:val="Compact"/>
      </w:pPr>
      <w:r>
        <w:rPr>
          <w:bCs/>
          <w:b/>
        </w:rPr>
        <w:t xml:space="preserve">Regierungsmitgliedschaften</w:t>
      </w:r>
      <w:r>
        <w:t xml:space="preserve">: Mitgliedschaft in Exekutivorganen</w:t>
      </w:r>
    </w:p>
    <w:p>
      <w:pPr>
        <w:numPr>
          <w:ilvl w:val="0"/>
          <w:numId w:val="1006"/>
        </w:numPr>
        <w:pStyle w:val="Compact"/>
      </w:pPr>
      <w:r>
        <w:rPr>
          <w:bCs/>
          <w:b/>
        </w:rPr>
        <w:t xml:space="preserve">Delegationen</w:t>
      </w:r>
      <w:r>
        <w:t xml:space="preserve">: Teilnahme an Delegationen</w:t>
      </w:r>
    </w:p>
    <w:p>
      <w:pPr>
        <w:numPr>
          <w:ilvl w:val="0"/>
          <w:numId w:val="1006"/>
        </w:numPr>
        <w:pStyle w:val="Compact"/>
      </w:pPr>
      <w:r>
        <w:rPr>
          <w:bCs/>
          <w:b/>
        </w:rPr>
        <w:t xml:space="preserve">Gremien</w:t>
      </w:r>
      <w:r>
        <w:t xml:space="preserve">: Mitwirkung in Gremien und Arbeitsgruppen</w:t>
      </w:r>
    </w:p>
    <w:bookmarkEnd w:id="149"/>
    <w:bookmarkStart w:id="152" w:name="technische-struktur-2"/>
    <w:p>
      <w:pPr>
        <w:pStyle w:val="Heading2"/>
      </w:pPr>
      <w:r>
        <w:t xml:space="preserve">Technische Struktur</w:t>
      </w:r>
    </w:p>
    <w:bookmarkStart w:id="150"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50"/>
    <w:bookmarkStart w:id="151"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51"/>
    <w:bookmarkEnd w:id="152"/>
    <w:bookmarkStart w:id="155" w:name="datenstruktur-1"/>
    <w:p>
      <w:pPr>
        <w:pStyle w:val="Heading2"/>
      </w:pPr>
      <w:r>
        <w:t xml:space="preserve">Datenstruktur</w:t>
      </w:r>
    </w:p>
    <w:bookmarkStart w:id="153"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53"/>
    <w:bookmarkStart w:id="154"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54"/>
    <w:bookmarkEnd w:id="155"/>
    <w:bookmarkStart w:id="161"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56"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56"/>
    <w:bookmarkStart w:id="157" w:name="typische-rollen-in-parlamenten"/>
    <w:p>
      <w:pPr>
        <w:pStyle w:val="Heading3"/>
      </w:pPr>
      <w:r>
        <w:t xml:space="preserve">Typische Rollen in Parlamenten</w:t>
      </w:r>
    </w:p>
    <w:p>
      <w:pPr>
        <w:numPr>
          <w:ilvl w:val="0"/>
          <w:numId w:val="1007"/>
        </w:numPr>
        <w:pStyle w:val="Compact"/>
      </w:pPr>
      <w:r>
        <w:rPr>
          <w:bCs/>
          <w:b/>
        </w:rPr>
        <w:t xml:space="preserve">Mitglied</w:t>
      </w:r>
      <w:r>
        <w:t xml:space="preserve">: Reguläres Parlamentsmitglied</w:t>
      </w:r>
    </w:p>
    <w:p>
      <w:pPr>
        <w:numPr>
          <w:ilvl w:val="0"/>
          <w:numId w:val="1007"/>
        </w:numPr>
        <w:pStyle w:val="Compact"/>
      </w:pPr>
      <w:r>
        <w:rPr>
          <w:bCs/>
          <w:b/>
        </w:rPr>
        <w:t xml:space="preserve">Präsident/Präsidentin</w:t>
      </w:r>
      <w:r>
        <w:t xml:space="preserve">: Parlamentspräsident/in</w:t>
      </w:r>
    </w:p>
    <w:p>
      <w:pPr>
        <w:numPr>
          <w:ilvl w:val="0"/>
          <w:numId w:val="1007"/>
        </w:numPr>
        <w:pStyle w:val="Compact"/>
      </w:pPr>
      <w:r>
        <w:rPr>
          <w:bCs/>
          <w:b/>
        </w:rPr>
        <w:t xml:space="preserve">Vizepräsident/Vizepräsidentin</w:t>
      </w:r>
      <w:r>
        <w:t xml:space="preserve">: Stellvertretung</w:t>
      </w:r>
    </w:p>
    <w:p>
      <w:pPr>
        <w:numPr>
          <w:ilvl w:val="0"/>
          <w:numId w:val="1007"/>
        </w:numPr>
        <w:pStyle w:val="Compact"/>
      </w:pPr>
      <w:r>
        <w:rPr>
          <w:bCs/>
          <w:b/>
        </w:rPr>
        <w:t xml:space="preserve">Ersatzmitglied</w:t>
      </w:r>
      <w:r>
        <w:t xml:space="preserve">: Stellvertretende Person</w:t>
      </w:r>
    </w:p>
    <w:p>
      <w:pPr>
        <w:numPr>
          <w:ilvl w:val="0"/>
          <w:numId w:val="1007"/>
        </w:numPr>
        <w:pStyle w:val="Compact"/>
      </w:pPr>
      <w:r>
        <w:rPr>
          <w:bCs/>
          <w:b/>
        </w:rPr>
        <w:t xml:space="preserve">Beobachter/Beobachterin</w:t>
      </w:r>
      <w:r>
        <w:t xml:space="preserve">: Beobachterstatus ohne Stimmrecht</w:t>
      </w:r>
    </w:p>
    <w:bookmarkEnd w:id="157"/>
    <w:bookmarkStart w:id="158" w:name="typische-rollen-in-kommissionen"/>
    <w:p>
      <w:pPr>
        <w:pStyle w:val="Heading3"/>
      </w:pPr>
      <w:r>
        <w:t xml:space="preserve">Typische Rollen in Kommissionen</w:t>
      </w:r>
    </w:p>
    <w:p>
      <w:pPr>
        <w:numPr>
          <w:ilvl w:val="0"/>
          <w:numId w:val="1008"/>
        </w:numPr>
        <w:pStyle w:val="Compact"/>
      </w:pPr>
      <w:r>
        <w:rPr>
          <w:bCs/>
          <w:b/>
        </w:rPr>
        <w:t xml:space="preserve">Mitglied</w:t>
      </w:r>
      <w:r>
        <w:t xml:space="preserve">: Reguläres Kommissionsmitglied</w:t>
      </w:r>
    </w:p>
    <w:p>
      <w:pPr>
        <w:numPr>
          <w:ilvl w:val="0"/>
          <w:numId w:val="1008"/>
        </w:numPr>
        <w:pStyle w:val="Compact"/>
      </w:pPr>
      <w:r>
        <w:rPr>
          <w:bCs/>
          <w:b/>
        </w:rPr>
        <w:t xml:space="preserve">Präsident/Präsidentin</w:t>
      </w:r>
      <w:r>
        <w:t xml:space="preserve">: Kommissionspräsident/in</w:t>
      </w:r>
    </w:p>
    <w:p>
      <w:pPr>
        <w:numPr>
          <w:ilvl w:val="0"/>
          <w:numId w:val="1008"/>
        </w:numPr>
        <w:pStyle w:val="Compact"/>
      </w:pPr>
      <w:r>
        <w:rPr>
          <w:bCs/>
          <w:b/>
        </w:rPr>
        <w:t xml:space="preserve">Vizepräsident/Vizepräsidentin</w:t>
      </w:r>
      <w:r>
        <w:t xml:space="preserve">: Stellvertretung</w:t>
      </w:r>
    </w:p>
    <w:p>
      <w:pPr>
        <w:numPr>
          <w:ilvl w:val="0"/>
          <w:numId w:val="1008"/>
        </w:numPr>
        <w:pStyle w:val="Compact"/>
      </w:pPr>
      <w:r>
        <w:rPr>
          <w:bCs/>
          <w:b/>
        </w:rPr>
        <w:t xml:space="preserve">Ersatzmitglied</w:t>
      </w:r>
      <w:r>
        <w:t xml:space="preserve">: Stellvertretende Person</w:t>
      </w:r>
    </w:p>
    <w:p>
      <w:pPr>
        <w:numPr>
          <w:ilvl w:val="0"/>
          <w:numId w:val="1008"/>
        </w:numPr>
        <w:pStyle w:val="Compact"/>
      </w:pPr>
      <w:r>
        <w:rPr>
          <w:bCs/>
          <w:b/>
        </w:rPr>
        <w:t xml:space="preserve">Sekretär/Sekretärin</w:t>
      </w:r>
      <w:r>
        <w:t xml:space="preserve">: Kommissionssekretär/in (oft nicht stimmberechtigtes Mitglied)</w:t>
      </w:r>
    </w:p>
    <w:bookmarkEnd w:id="158"/>
    <w:bookmarkStart w:id="159" w:name="typische-rollen-in-parteien"/>
    <w:p>
      <w:pPr>
        <w:pStyle w:val="Heading3"/>
      </w:pPr>
      <w:r>
        <w:t xml:space="preserve">Typische Rollen in Parteien</w:t>
      </w:r>
    </w:p>
    <w:p>
      <w:pPr>
        <w:numPr>
          <w:ilvl w:val="0"/>
          <w:numId w:val="1009"/>
        </w:numPr>
        <w:pStyle w:val="Compact"/>
      </w:pPr>
      <w:r>
        <w:rPr>
          <w:bCs/>
          <w:b/>
        </w:rPr>
        <w:t xml:space="preserve">Mitglied</w:t>
      </w:r>
      <w:r>
        <w:t xml:space="preserve">: Parteimitglied</w:t>
      </w:r>
    </w:p>
    <w:p>
      <w:pPr>
        <w:numPr>
          <w:ilvl w:val="0"/>
          <w:numId w:val="1009"/>
        </w:numPr>
        <w:pStyle w:val="Compact"/>
      </w:pPr>
      <w:r>
        <w:rPr>
          <w:bCs/>
          <w:b/>
        </w:rPr>
        <w:t xml:space="preserve">Präsident/Präsidentin</w:t>
      </w:r>
      <w:r>
        <w:t xml:space="preserve">: Parteipräsident/in</w:t>
      </w:r>
    </w:p>
    <w:p>
      <w:pPr>
        <w:numPr>
          <w:ilvl w:val="0"/>
          <w:numId w:val="1009"/>
        </w:numPr>
        <w:pStyle w:val="Compact"/>
      </w:pPr>
      <w:r>
        <w:rPr>
          <w:bCs/>
          <w:b/>
        </w:rPr>
        <w:t xml:space="preserve">Vorstandsmitglied</w:t>
      </w:r>
      <w:r>
        <w:t xml:space="preserve">: Mitglied des Parteivorstands</w:t>
      </w:r>
    </w:p>
    <w:p>
      <w:pPr>
        <w:numPr>
          <w:ilvl w:val="0"/>
          <w:numId w:val="1009"/>
        </w:numPr>
        <w:pStyle w:val="Compact"/>
      </w:pPr>
      <w:r>
        <w:rPr>
          <w:bCs/>
          <w:b/>
        </w:rPr>
        <w:t xml:space="preserve">Geschäftsführer/Geschäftsführerin</w:t>
      </w:r>
      <w:r>
        <w:t xml:space="preserve">: Geschäftsführung</w:t>
      </w:r>
    </w:p>
    <w:p>
      <w:pPr>
        <w:numPr>
          <w:ilvl w:val="0"/>
          <w:numId w:val="1009"/>
        </w:numPr>
        <w:pStyle w:val="Compact"/>
      </w:pPr>
      <w:r>
        <w:rPr>
          <w:bCs/>
          <w:b/>
        </w:rPr>
        <w:t xml:space="preserve">Ehrenmitglied</w:t>
      </w:r>
      <w:r>
        <w:t xml:space="preserve">: Ehrenmitgliedschaft</w:t>
      </w:r>
    </w:p>
    <w:bookmarkEnd w:id="159"/>
    <w:bookmarkStart w:id="160" w:name="typische-rollen-in-regierungen"/>
    <w:p>
      <w:pPr>
        <w:pStyle w:val="Heading3"/>
      </w:pPr>
      <w:r>
        <w:t xml:space="preserve">Typische Rollen in Regierungen</w:t>
      </w:r>
    </w:p>
    <w:p>
      <w:pPr>
        <w:numPr>
          <w:ilvl w:val="0"/>
          <w:numId w:val="1010"/>
        </w:numPr>
        <w:pStyle w:val="Compact"/>
      </w:pPr>
      <w:r>
        <w:rPr>
          <w:bCs/>
          <w:b/>
        </w:rPr>
        <w:t xml:space="preserve">Regierungsrat/Regierungsrätin</w:t>
      </w:r>
      <w:r>
        <w:t xml:space="preserve">: Mitglied der Kantonsregierung</w:t>
      </w:r>
    </w:p>
    <w:p>
      <w:pPr>
        <w:numPr>
          <w:ilvl w:val="0"/>
          <w:numId w:val="1010"/>
        </w:numPr>
        <w:pStyle w:val="Compact"/>
      </w:pPr>
      <w:r>
        <w:rPr>
          <w:bCs/>
          <w:b/>
        </w:rPr>
        <w:t xml:space="preserve">Bundesrat/Bundesrätin</w:t>
      </w:r>
      <w:r>
        <w:t xml:space="preserve">: Mitglied des Bundesrats</w:t>
      </w:r>
    </w:p>
    <w:p>
      <w:pPr>
        <w:numPr>
          <w:ilvl w:val="0"/>
          <w:numId w:val="1010"/>
        </w:numPr>
        <w:pStyle w:val="Compact"/>
      </w:pPr>
      <w:r>
        <w:rPr>
          <w:bCs/>
          <w:b/>
        </w:rPr>
        <w:t xml:space="preserve">Bundespräsident/Bundespräsidentin</w:t>
      </w:r>
      <w:r>
        <w:t xml:space="preserve">: Rotierendes Amt</w:t>
      </w:r>
    </w:p>
    <w:p>
      <w:pPr>
        <w:numPr>
          <w:ilvl w:val="0"/>
          <w:numId w:val="1010"/>
        </w:numPr>
        <w:pStyle w:val="Compact"/>
      </w:pPr>
      <w:r>
        <w:rPr>
          <w:bCs/>
          <w:b/>
        </w:rPr>
        <w:t xml:space="preserve">Vizepräsident/Vizepräsidentin</w:t>
      </w:r>
      <w:r>
        <w:t xml:space="preserve">: Stellvertretung</w:t>
      </w:r>
    </w:p>
    <w:bookmarkEnd w:id="160"/>
    <w:bookmarkEnd w:id="161"/>
    <w:bookmarkStart w:id="164" w:name="zeitliche-validität"/>
    <w:p>
      <w:pPr>
        <w:pStyle w:val="Heading2"/>
      </w:pPr>
      <w:r>
        <w:t xml:space="preserve">Zeitliche Validität</w:t>
      </w:r>
    </w:p>
    <w:bookmarkStart w:id="162"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62"/>
    <w:bookmarkStart w:id="163"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1"/>
        </w:numPr>
        <w:pStyle w:val="Compact"/>
      </w:pPr>
      <w:r>
        <w:rPr>
          <w:rStyle w:val="VerbatimChar"/>
        </w:rPr>
        <w:t xml:space="preserve">true</w:t>
      </w:r>
      <w:r>
        <w:t xml:space="preserve">: Mitgliedschaft ist derzeit aktiv</w:t>
      </w:r>
    </w:p>
    <w:p>
      <w:pPr>
        <w:numPr>
          <w:ilvl w:val="0"/>
          <w:numId w:val="1011"/>
        </w:numPr>
        <w:pStyle w:val="Compact"/>
      </w:pPr>
      <w:r>
        <w:rPr>
          <w:rStyle w:val="VerbatimChar"/>
        </w:rPr>
        <w:t xml:space="preserve">false</w:t>
      </w:r>
      <w:r>
        <w:t xml:space="preserve">: Mitgliedschaft ist inaktiv/beendet</w:t>
      </w:r>
    </w:p>
    <w:p>
      <w:pPr>
        <w:numPr>
          <w:ilvl w:val="0"/>
          <w:numId w:val="1011"/>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63"/>
    <w:bookmarkEnd w:id="164"/>
    <w:bookmarkStart w:id="165"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65"/>
    <w:bookmarkStart w:id="166"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66"/>
    <w:bookmarkStart w:id="168" w:name="hierarchische-darstellung"/>
    <w:p>
      <w:pPr>
        <w:pStyle w:val="Heading2"/>
      </w:pPr>
      <w:r>
        <w:t xml:space="preserve">Hierarchische Darstellung</w:t>
      </w:r>
    </w:p>
    <w:p>
      <w:pPr>
        <w:pStyle w:val="FirstParagraph"/>
      </w:pPr>
      <w:r>
        <w:t xml:space="preserve">Memberships können auch hierarchisch organisiert werden:</w:t>
      </w:r>
    </w:p>
    <w:bookmarkStart w:id="167"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67"/>
    <w:bookmarkEnd w:id="168"/>
    <w:bookmarkStart w:id="171" w:name="wechsel-und-nachfolge"/>
    <w:p>
      <w:pPr>
        <w:pStyle w:val="Heading2"/>
      </w:pPr>
      <w:r>
        <w:t xml:space="preserve">Wechsel und Nachfolge</w:t>
      </w:r>
    </w:p>
    <w:bookmarkStart w:id="169"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69"/>
    <w:bookmarkStart w:id="170"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0"/>
    <w:bookmarkEnd w:id="171"/>
    <w:bookmarkStart w:id="174" w:name="interoperabilität-1"/>
    <w:p>
      <w:pPr>
        <w:pStyle w:val="Heading2"/>
      </w:pPr>
      <w:r>
        <w:t xml:space="preserve">Interoperabilität</w:t>
      </w:r>
    </w:p>
    <w:bookmarkStart w:id="172"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2"/>
    <w:bookmarkStart w:id="173"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73"/>
    <w:bookmarkEnd w:id="174"/>
    <w:bookmarkStart w:id="182" w:name="anwendungsbeispiele-1"/>
    <w:p>
      <w:pPr>
        <w:pStyle w:val="Heading2"/>
      </w:pPr>
      <w:r>
        <w:t xml:space="preserve">Anwendungsbeispiele</w:t>
      </w:r>
    </w:p>
    <w:bookmarkStart w:id="175"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75"/>
    <w:bookmarkStart w:id="176"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6"/>
    <w:bookmarkStart w:id="177"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78"/>
    <w:bookmarkStart w:id="179"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79"/>
    <w:bookmarkStart w:id="180"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0"/>
    <w:bookmarkStart w:id="181"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81"/>
    <w:bookmarkEnd w:id="182"/>
    <w:bookmarkStart w:id="187" w:name="auswertungsmöglichkeiten"/>
    <w:p>
      <w:pPr>
        <w:pStyle w:val="Heading2"/>
      </w:pPr>
      <w:r>
        <w:t xml:space="preserve">Auswertungsmöglichkeiten</w:t>
      </w:r>
    </w:p>
    <w:bookmarkStart w:id="183"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83"/>
    <w:bookmarkStart w:id="184" w:name="historische-analysen"/>
    <w:p>
      <w:pPr>
        <w:pStyle w:val="Heading3"/>
      </w:pPr>
      <w:r>
        <w:t xml:space="preserve">Historische Analysen</w:t>
      </w:r>
    </w:p>
    <w:p>
      <w:pPr>
        <w:numPr>
          <w:ilvl w:val="0"/>
          <w:numId w:val="1012"/>
        </w:numPr>
        <w:pStyle w:val="Compact"/>
      </w:pPr>
      <w:r>
        <w:t xml:space="preserve">Parteiwechsel über Zeit</w:t>
      </w:r>
    </w:p>
    <w:p>
      <w:pPr>
        <w:numPr>
          <w:ilvl w:val="0"/>
          <w:numId w:val="1012"/>
        </w:numPr>
        <w:pStyle w:val="Compact"/>
      </w:pPr>
      <w:r>
        <w:t xml:space="preserve">Durchschnittliche Dauer von Mandaten</w:t>
      </w:r>
    </w:p>
    <w:p>
      <w:pPr>
        <w:numPr>
          <w:ilvl w:val="0"/>
          <w:numId w:val="1012"/>
        </w:numPr>
        <w:pStyle w:val="Compact"/>
      </w:pPr>
      <w:r>
        <w:t xml:space="preserve">Fluktuation in Kommissionen</w:t>
      </w:r>
    </w:p>
    <w:p>
      <w:pPr>
        <w:numPr>
          <w:ilvl w:val="0"/>
          <w:numId w:val="1012"/>
        </w:numPr>
        <w:pStyle w:val="Compact"/>
      </w:pPr>
      <w:r>
        <w:t xml:space="preserve">Karrierewege (Gemeinde → Kanton → Bund)</w:t>
      </w:r>
    </w:p>
    <w:bookmarkEnd w:id="184"/>
    <w:bookmarkStart w:id="185" w:name="netzwerkanalysen"/>
    <w:p>
      <w:pPr>
        <w:pStyle w:val="Heading3"/>
      </w:pPr>
      <w:r>
        <w:t xml:space="preserve">Netzwerkanalysen</w:t>
      </w:r>
    </w:p>
    <w:p>
      <w:pPr>
        <w:numPr>
          <w:ilvl w:val="0"/>
          <w:numId w:val="1013"/>
        </w:numPr>
        <w:pStyle w:val="Compact"/>
      </w:pPr>
      <w:r>
        <w:t xml:space="preserve">Welche Personen sind in denselben Gruppen?</w:t>
      </w:r>
    </w:p>
    <w:p>
      <w:pPr>
        <w:numPr>
          <w:ilvl w:val="0"/>
          <w:numId w:val="1013"/>
        </w:numPr>
        <w:pStyle w:val="Compact"/>
      </w:pPr>
      <w:r>
        <w:t xml:space="preserve">Ko-Mitgliedschaften in Kommissionen</w:t>
      </w:r>
    </w:p>
    <w:p>
      <w:pPr>
        <w:numPr>
          <w:ilvl w:val="0"/>
          <w:numId w:val="1013"/>
        </w:numPr>
        <w:pStyle w:val="Compact"/>
      </w:pPr>
      <w:r>
        <w:t xml:space="preserve">Parteizugehörigkeit vs. Fraktionszugehörigkeit</w:t>
      </w:r>
    </w:p>
    <w:bookmarkEnd w:id="185"/>
    <w:bookmarkStart w:id="186" w:name="stimmberechtigungen"/>
    <w:p>
      <w:pPr>
        <w:pStyle w:val="Heading3"/>
      </w:pPr>
      <w:r>
        <w:t xml:space="preserve">Stimmberechtigungen</w:t>
      </w:r>
    </w:p>
    <w:p>
      <w:pPr>
        <w:numPr>
          <w:ilvl w:val="0"/>
          <w:numId w:val="1014"/>
        </w:numPr>
        <w:pStyle w:val="Compact"/>
      </w:pPr>
      <w:r>
        <w:t xml:space="preserve">Anzahl stimmberechtigter Mitglieder pro Gruppe</w:t>
      </w:r>
    </w:p>
    <w:p>
      <w:pPr>
        <w:numPr>
          <w:ilvl w:val="0"/>
          <w:numId w:val="1014"/>
        </w:numPr>
        <w:pStyle w:val="Compact"/>
      </w:pPr>
      <w:r>
        <w:t xml:space="preserve">Anteil von Ersatzmitgliedern</w:t>
      </w:r>
    </w:p>
    <w:p>
      <w:pPr>
        <w:numPr>
          <w:ilvl w:val="0"/>
          <w:numId w:val="1014"/>
        </w:numPr>
        <w:pStyle w:val="Compact"/>
      </w:pPr>
      <w:r>
        <w:t xml:space="preserve">Quorum-Berechnungen</w:t>
      </w:r>
    </w:p>
    <w:bookmarkEnd w:id="186"/>
    <w:bookmarkEnd w:id="187"/>
    <w:bookmarkStart w:id="188"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88"/>
    <w:bookmarkStart w:id="189" w:name="referenzen-1"/>
    <w:p>
      <w:pPr>
        <w:pStyle w:val="Heading2"/>
      </w:pPr>
      <w:r>
        <w:t xml:space="preserve">Referenzen</w:t>
      </w:r>
    </w:p>
    <w:p>
      <w:pPr>
        <w:pStyle w:val="FirstParagraph"/>
      </w:pPr>
      <w:r>
        <w:t xml:space="preserve">Siehe vollständige LinkML-Schema-Dokumentation:</w:t>
      </w:r>
    </w:p>
    <w:bookmarkEnd w:id="189"/>
    <w:bookmarkEnd w:id="190"/>
    <w:bookmarkStart w:id="193"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91"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Verknüpfung. [en] 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 [de] 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 [en] 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91"/>
    <w:bookmarkStart w:id="192"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92"/>
    <w:bookmarkEnd w:id="193"/>
    <w:bookmarkStart w:id="230" w:name="interessenbindungen-interest-links"/>
    <w:p>
      <w:pPr>
        <w:pStyle w:val="Heading1"/>
      </w:pPr>
      <w:r>
        <w:t xml:space="preserve">Interessenbindungen (Interest Links)</w:t>
      </w:r>
    </w:p>
    <w:bookmarkStart w:id="195"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94">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95"/>
    <w:bookmarkStart w:id="197" w:name="technische-struktur-3"/>
    <w:p>
      <w:pPr>
        <w:pStyle w:val="Heading2"/>
      </w:pPr>
      <w:r>
        <w:t xml:space="preserve">Technische Struktur</w:t>
      </w:r>
    </w:p>
    <w:bookmarkStart w:id="196"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96"/>
    <w:bookmarkEnd w:id="197"/>
    <w:bookmarkStart w:id="200" w:name="datenstruktur-2"/>
    <w:p>
      <w:pPr>
        <w:pStyle w:val="Heading2"/>
      </w:pPr>
      <w:r>
        <w:t xml:space="preserve">Datenstruktur</w:t>
      </w:r>
    </w:p>
    <w:bookmarkStart w:id="198"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98"/>
    <w:bookmarkStart w:id="199"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99"/>
    <w:bookmarkEnd w:id="200"/>
    <w:bookmarkStart w:id="204"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201"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201"/>
    <w:bookmarkStart w:id="202"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202"/>
    <w:bookmarkStart w:id="203"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3"/>
    <w:bookmarkEnd w:id="204"/>
    <w:bookmarkStart w:id="205"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205"/>
    <w:bookmarkStart w:id="206"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206"/>
    <w:bookmarkStart w:id="209" w:name="gremien-und-funktionen"/>
    <w:p>
      <w:pPr>
        <w:pStyle w:val="Heading2"/>
      </w:pPr>
      <w:r>
        <w:t xml:space="preserve">Gremien und Funktionen</w:t>
      </w:r>
    </w:p>
    <w:bookmarkStart w:id="207"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15"/>
        </w:numPr>
        <w:pStyle w:val="Compact"/>
      </w:pPr>
      <w:r>
        <w:rPr>
          <w:bCs/>
          <w:b/>
        </w:rPr>
        <w:t xml:space="preserve">Verwaltungsrat</w:t>
      </w:r>
      <w:r>
        <w:t xml:space="preserve"> </w:t>
      </w:r>
      <w:r>
        <w:t xml:space="preserve">(VR): Oberstes Führungsorgan einer AG</w:t>
      </w:r>
    </w:p>
    <w:p>
      <w:pPr>
        <w:numPr>
          <w:ilvl w:val="0"/>
          <w:numId w:val="1015"/>
        </w:numPr>
        <w:pStyle w:val="Compact"/>
      </w:pPr>
      <w:r>
        <w:rPr>
          <w:bCs/>
          <w:b/>
        </w:rPr>
        <w:t xml:space="preserve">Stiftungsrat</w:t>
      </w:r>
      <w:r>
        <w:t xml:space="preserve">: Oberstes Organ einer Stiftung</w:t>
      </w:r>
    </w:p>
    <w:p>
      <w:pPr>
        <w:numPr>
          <w:ilvl w:val="0"/>
          <w:numId w:val="1015"/>
        </w:numPr>
        <w:pStyle w:val="Compact"/>
      </w:pPr>
      <w:r>
        <w:rPr>
          <w:bCs/>
          <w:b/>
        </w:rPr>
        <w:t xml:space="preserve">Vorstand</w:t>
      </w:r>
      <w:r>
        <w:t xml:space="preserve">: Geschäftsführendes Organ eines Vereins</w:t>
      </w:r>
    </w:p>
    <w:p>
      <w:pPr>
        <w:numPr>
          <w:ilvl w:val="0"/>
          <w:numId w:val="1015"/>
        </w:numPr>
        <w:pStyle w:val="Compact"/>
      </w:pPr>
      <w:r>
        <w:rPr>
          <w:bCs/>
          <w:b/>
        </w:rPr>
        <w:t xml:space="preserve">Aufsichtsrat</w:t>
      </w:r>
      <w:r>
        <w:t xml:space="preserve">: Kontrollgremium</w:t>
      </w:r>
    </w:p>
    <w:p>
      <w:pPr>
        <w:numPr>
          <w:ilvl w:val="0"/>
          <w:numId w:val="1015"/>
        </w:numPr>
        <w:pStyle w:val="Compact"/>
      </w:pPr>
      <w:r>
        <w:rPr>
          <w:bCs/>
          <w:b/>
        </w:rPr>
        <w:t xml:space="preserve">Beirat</w:t>
      </w:r>
      <w:r>
        <w:t xml:space="preserve">: Beratendes Gremium</w:t>
      </w:r>
    </w:p>
    <w:p>
      <w:pPr>
        <w:numPr>
          <w:ilvl w:val="0"/>
          <w:numId w:val="1015"/>
        </w:numPr>
        <w:pStyle w:val="Compact"/>
      </w:pPr>
      <w:r>
        <w:rPr>
          <w:bCs/>
          <w:b/>
        </w:rPr>
        <w:t xml:space="preserve">Geschäftsleitung</w:t>
      </w:r>
      <w:r>
        <w:t xml:space="preserve">: Operative Führung</w:t>
      </w:r>
    </w:p>
    <w:bookmarkEnd w:id="207"/>
    <w:bookmarkStart w:id="208" w:name="typische-funktionen-function_role"/>
    <w:p>
      <w:pPr>
        <w:pStyle w:val="Heading3"/>
      </w:pPr>
      <w:r>
        <w:t xml:space="preserve">Typische Funktionen (</w:t>
      </w:r>
      <w:r>
        <w:rPr>
          <w:rStyle w:val="VerbatimChar"/>
        </w:rPr>
        <w:t xml:space="preserve">function_role</w:t>
      </w:r>
      <w:r>
        <w:t xml:space="preserve">)</w:t>
      </w:r>
    </w:p>
    <w:p>
      <w:pPr>
        <w:numPr>
          <w:ilvl w:val="0"/>
          <w:numId w:val="1016"/>
        </w:numPr>
        <w:pStyle w:val="Compact"/>
      </w:pPr>
      <w:r>
        <w:t xml:space="preserve">Präsident/Präsidentin</w:t>
      </w:r>
    </w:p>
    <w:p>
      <w:pPr>
        <w:numPr>
          <w:ilvl w:val="0"/>
          <w:numId w:val="1016"/>
        </w:numPr>
        <w:pStyle w:val="Compact"/>
      </w:pPr>
      <w:r>
        <w:t xml:space="preserve">Vizepräsident/Vizepräsidentin</w:t>
      </w:r>
    </w:p>
    <w:p>
      <w:pPr>
        <w:numPr>
          <w:ilvl w:val="0"/>
          <w:numId w:val="1016"/>
        </w:numPr>
        <w:pStyle w:val="Compact"/>
      </w:pPr>
      <w:r>
        <w:t xml:space="preserve">Mitglied</w:t>
      </w:r>
    </w:p>
    <w:p>
      <w:pPr>
        <w:numPr>
          <w:ilvl w:val="0"/>
          <w:numId w:val="1016"/>
        </w:numPr>
        <w:pStyle w:val="Compact"/>
      </w:pPr>
      <w:r>
        <w:t xml:space="preserve">Delegierter</w:t>
      </w:r>
    </w:p>
    <w:p>
      <w:pPr>
        <w:numPr>
          <w:ilvl w:val="0"/>
          <w:numId w:val="1016"/>
        </w:numPr>
        <w:pStyle w:val="Compact"/>
      </w:pPr>
      <w:r>
        <w:t xml:space="preserve">Geschäftsführer/Geschäftsführerin</w:t>
      </w:r>
    </w:p>
    <w:p>
      <w:pPr>
        <w:numPr>
          <w:ilvl w:val="0"/>
          <w:numId w:val="1016"/>
        </w:numPr>
        <w:pStyle w:val="Compact"/>
      </w:pPr>
      <w:r>
        <w:t xml:space="preserve">Berater/Beraterin</w:t>
      </w:r>
    </w:p>
    <w:bookmarkEnd w:id="208"/>
    <w:bookmarkEnd w:id="209"/>
    <w:bookmarkStart w:id="210"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17"/>
        </w:numPr>
        <w:pStyle w:val="Compact"/>
      </w:pPr>
      <w:r>
        <w:rPr>
          <w:rStyle w:val="VerbatimChar"/>
        </w:rPr>
        <w:t xml:space="preserve">true</w:t>
      </w:r>
      <w:r>
        <w:t xml:space="preserve">: Bezahlte Position (Entschädigung, Honorar, Lohn)</w:t>
      </w:r>
    </w:p>
    <w:p>
      <w:pPr>
        <w:numPr>
          <w:ilvl w:val="0"/>
          <w:numId w:val="1017"/>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210"/>
    <w:bookmarkStart w:id="213" w:name="interoperabilität-2"/>
    <w:p>
      <w:pPr>
        <w:pStyle w:val="Heading2"/>
      </w:pPr>
      <w:r>
        <w:t xml:space="preserve">Interoperabilität</w:t>
      </w:r>
    </w:p>
    <w:bookmarkStart w:id="211"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18"/>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19"/>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211"/>
    <w:bookmarkStart w:id="212"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212"/>
    <w:bookmarkEnd w:id="213"/>
    <w:bookmarkStart w:id="214"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214"/>
    <w:bookmarkStart w:id="220" w:name="anwendungsbeispiele-2"/>
    <w:p>
      <w:pPr>
        <w:pStyle w:val="Heading2"/>
      </w:pPr>
      <w:r>
        <w:t xml:space="preserve">Anwendungsbeispiele</w:t>
      </w:r>
    </w:p>
    <w:bookmarkStart w:id="215"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215"/>
    <w:bookmarkStart w:id="216"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216"/>
    <w:bookmarkStart w:id="217"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17"/>
    <w:bookmarkStart w:id="218"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18"/>
    <w:bookmarkStart w:id="219"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19"/>
    <w:bookmarkEnd w:id="220"/>
    <w:bookmarkStart w:id="225" w:name="auswertungsmöglichkeiten-1"/>
    <w:p>
      <w:pPr>
        <w:pStyle w:val="Heading2"/>
      </w:pPr>
      <w:r>
        <w:t xml:space="preserve">Auswertungsmöglichkeiten</w:t>
      </w:r>
    </w:p>
    <w:bookmarkStart w:id="221"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21"/>
    <w:bookmarkStart w:id="222"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22"/>
    <w:bookmarkStart w:id="223" w:name="nach-bezahlung"/>
    <w:p>
      <w:pPr>
        <w:pStyle w:val="Heading3"/>
      </w:pPr>
      <w:r>
        <w:t xml:space="preserve">Nach Bezahlung</w:t>
      </w:r>
    </w:p>
    <w:p>
      <w:pPr>
        <w:numPr>
          <w:ilvl w:val="0"/>
          <w:numId w:val="1020"/>
        </w:numPr>
        <w:pStyle w:val="Compact"/>
      </w:pPr>
      <w:r>
        <w:t xml:space="preserve">Anteil bezahlter vs. ehrenamtlicher Tätigkeiten</w:t>
      </w:r>
    </w:p>
    <w:p>
      <w:pPr>
        <w:numPr>
          <w:ilvl w:val="0"/>
          <w:numId w:val="1020"/>
        </w:numPr>
        <w:pStyle w:val="Compact"/>
      </w:pPr>
      <w:r>
        <w:t xml:space="preserve">Durchschnittliche Anzahl bezahlter Mandate</w:t>
      </w:r>
    </w:p>
    <w:p>
      <w:pPr>
        <w:numPr>
          <w:ilvl w:val="0"/>
          <w:numId w:val="1020"/>
        </w:numPr>
        <w:pStyle w:val="Compact"/>
      </w:pPr>
      <w:r>
        <w:t xml:space="preserve">Kumulation von Einkommen</w:t>
      </w:r>
    </w:p>
    <w:bookmarkEnd w:id="223"/>
    <w:bookmarkStart w:id="224" w:name="zeitliche-entwicklung"/>
    <w:p>
      <w:pPr>
        <w:pStyle w:val="Heading3"/>
      </w:pPr>
      <w:r>
        <w:t xml:space="preserve">Zeitliche Entwicklung</w:t>
      </w:r>
    </w:p>
    <w:p>
      <w:pPr>
        <w:numPr>
          <w:ilvl w:val="0"/>
          <w:numId w:val="1021"/>
        </w:numPr>
        <w:pStyle w:val="Compact"/>
      </w:pPr>
      <w:r>
        <w:t xml:space="preserve">Beginn/Ende von Interessenbindungen</w:t>
      </w:r>
    </w:p>
    <w:p>
      <w:pPr>
        <w:numPr>
          <w:ilvl w:val="0"/>
          <w:numId w:val="1021"/>
        </w:numPr>
        <w:pStyle w:val="Compact"/>
      </w:pPr>
      <w:r>
        <w:t xml:space="preserve">Wechsel zwischen Organisationen</w:t>
      </w:r>
    </w:p>
    <w:p>
      <w:pPr>
        <w:numPr>
          <w:ilvl w:val="0"/>
          <w:numId w:val="1021"/>
        </w:numPr>
        <w:pStyle w:val="Compact"/>
      </w:pPr>
      <w:r>
        <w:t xml:space="preserve">Dauer von Mandaten</w:t>
      </w:r>
    </w:p>
    <w:bookmarkEnd w:id="224"/>
    <w:bookmarkEnd w:id="225"/>
    <w:bookmarkStart w:id="229"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94">
        <w:r>
          <w:rPr>
            <w:rStyle w:val="Hyperlink"/>
          </w:rPr>
          <w:t xml:space="preserve">Bundesversammlung - Interessenbindungen Nationalrat</w:t>
        </w:r>
      </w:hyperlink>
      <w:r>
        <w:t xml:space="preserve"> </w:t>
      </w:r>
      <w:r>
        <w:t xml:space="preserve">-</w:t>
      </w:r>
      <w:r>
        <w:t xml:space="preserve"> </w:t>
      </w:r>
      <w:hyperlink r:id="rId226">
        <w:r>
          <w:rPr>
            <w:rStyle w:val="Hyperlink"/>
          </w:rPr>
          <w:t xml:space="preserve">UID-Register</w:t>
        </w:r>
      </w:hyperlink>
      <w:r>
        <w:t xml:space="preserve"> </w:t>
      </w:r>
      <w:r>
        <w:t xml:space="preserve">-</w:t>
      </w:r>
      <w:r>
        <w:t xml:space="preserve"> </w:t>
      </w:r>
      <w:hyperlink r:id="rId227">
        <w:r>
          <w:rPr>
            <w:rStyle w:val="Hyperlink"/>
          </w:rPr>
          <w:t xml:space="preserve">eCH-0097: Unternehmens-Identifikationsnummer</w:t>
        </w:r>
      </w:hyperlink>
      <w:r>
        <w:t xml:space="preserve"> </w:t>
      </w:r>
      <w:r>
        <w:t xml:space="preserve">-</w:t>
      </w:r>
      <w:r>
        <w:t xml:space="preserve"> </w:t>
      </w:r>
      <w:hyperlink r:id="rId228">
        <w:r>
          <w:rPr>
            <w:rStyle w:val="Hyperlink"/>
          </w:rPr>
          <w:t xml:space="preserve">NOGA-Codes (Branchenklassifikation)</w:t>
        </w:r>
      </w:hyperlink>
    </w:p>
    <w:p>
      <w:pPr>
        <w:pStyle w:val="BodyText"/>
      </w:pPr>
      <w:r>
        <w:t xml:space="preserve">Siehe vollständige LinkML-Schema-Dokumentation:</w:t>
      </w:r>
    </w:p>
    <w:bookmarkEnd w:id="229"/>
    <w:bookmarkEnd w:id="230"/>
    <w:bookmarkStart w:id="245" w:name="class-interestlink-1"/>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31"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231"/>
    <w:bookmarkStart w:id="232"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32"/>
    <w:bookmarkStart w:id="244" w:name="examples-5"/>
    <w:p>
      <w:pPr>
        <w:pStyle w:val="Heading3"/>
      </w:pPr>
      <w:r>
        <w:t xml:space="preserve">Examples</w:t>
      </w:r>
    </w:p>
    <w:bookmarkStart w:id="233" w:name="Xfaceda65cf854af4404f277853163dc3a330726"/>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3"/>
    <w:bookmarkStart w:id="234" w:name="X13756c3c027a5e56fb6f4516fc7ac18137b743d"/>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4"/>
    <w:bookmarkStart w:id="235" w:name="X8e8bdaa6ec458dfd16f2b7cd2fb26447226c41d"/>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5"/>
    <w:bookmarkStart w:id="236" w:name="X03b057bb628d236da9cb27abdc1cf8604c99675"/>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6"/>
    <w:bookmarkStart w:id="237" w:name="X2dcdfa293ad7b34c7f6a6b06f4483abbc2e6d9c"/>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37"/>
    <w:bookmarkStart w:id="238" w:name="X4c28c990f8d2250a6ba160e17172e6426f8b9b5"/>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8"/>
    <w:bookmarkStart w:id="239" w:name="Xf75e0a01c33e649c4b55755f4cd90a0f8917253"/>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9"/>
    <w:bookmarkStart w:id="240" w:name="X3cae51d0eca0cbe47c4765864bd647439c5407e"/>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40"/>
    <w:bookmarkStart w:id="241" w:name="X56887ad0e735c1b00544223a3963e8bd96a0092"/>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41"/>
    <w:bookmarkStart w:id="242" w:name="Xca18f201a4cd20700af6e585351d1338ea33930"/>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42"/>
    <w:bookmarkStart w:id="243" w:name="X85c095468560b5197c0787239b7b0a51cdafc67"/>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43"/>
    <w:bookmarkEnd w:id="244"/>
    <w:bookmarkEnd w:id="24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6" Target="https://ld.ech.ch/schema/0294/actors/AddressTypeEnum" TargetMode="External" /><Relationship Type="http://schemas.openxmlformats.org/officeDocument/2006/relationships/hyperlink" Id="rId228" Target="https://www.bfs.admin.ch/bfs/de/home/statistiken/industrie-dienstleistungen/nomenklatur/noga.html" TargetMode="External" /><Relationship Type="http://schemas.openxmlformats.org/officeDocument/2006/relationships/hyperlink" Id="rId227" Target="https://www.ech.ch/de/ech/ech-0097" TargetMode="External" /><Relationship Type="http://schemas.openxmlformats.org/officeDocument/2006/relationships/hyperlink" Id="rId194" Target="https://www.parlament.ch/centers/documents/de/interessen-nr.pdf" TargetMode="External" /><Relationship Type="http://schemas.openxmlformats.org/officeDocument/2006/relationships/hyperlink" Id="rId226"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6" Target="https://ld.ech.ch/schema/0294/actors/AddressTypeEnum" TargetMode="External" /><Relationship Type="http://schemas.openxmlformats.org/officeDocument/2006/relationships/hyperlink" Id="rId228" Target="https://www.bfs.admin.ch/bfs/de/home/statistiken/industrie-dienstleistungen/nomenklatur/noga.html" TargetMode="External" /><Relationship Type="http://schemas.openxmlformats.org/officeDocument/2006/relationships/hyperlink" Id="rId227" Target="https://www.ech.ch/de/ech/ech-0097" TargetMode="External" /><Relationship Type="http://schemas.openxmlformats.org/officeDocument/2006/relationships/hyperlink" Id="rId194" Target="https://www.parlament.ch/centers/documents/de/interessen-nr.pdf" TargetMode="External" /><Relationship Type="http://schemas.openxmlformats.org/officeDocument/2006/relationships/hyperlink" Id="rId226"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2026-05-27T12:23:16Z</dcterms:created>
  <dcterms:modified xsi:type="dcterms:W3CDTF">2026-05-27T12:23:16Z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