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Politische Akteure: Personen, Gruppen und Organe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Politische Akteure: Personen, Gruppen und Organe</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eCH-0294</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Vorschlag</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r>
              <w:t xml:space="preserve">2026-07-22</w:t>
            </w: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eCH-0294 „Politische Akteure: Personen, Gruppen und Organe“ definiert ein einheitliches Datenmodell zur strukturierten Publikation politischer Akteure in der Schweiz. Er umfasst natürliche Personen, politische Gruppen und Organe, Mitgliedschaften zwischen Personen und Gruppen sowie Interessenbindungen. Ziel ist es, föderal übergreifend vergleichbare, maschinenlesbare und nachnutzbare Informationen bereitzustellen, um Transparenz, Nachvollziehbarkeit und Analysefähigkeit politischer Prozesse zu verbessern.</w:t>
      </w:r>
    </w:p>
    <w:p>
      <w:pPr>
        <w:pStyle w:val="Textkrper"/>
      </w:pPr>
      <w:r>
        <w:t xml:space="preserve">Der Standard richtet sich an öffentliche Stellen aller Staatsebenen, politische Akteure, Medien, Forschung und Öffentlichkeit und schafft eine Grundlage für interoperable politische Informationssysteme in der Schweiz.</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2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w:t>
      </w:r>
    </w:p>
    <w:p>
      <w:pPr>
        <w:pStyle w:val="Compact"/>
        <w:numPr>
          <w:ilvl w:val="0"/>
          <w:numId w:val="1001"/>
        </w:numPr>
      </w:pPr>
      <w:r>
        <w:rPr>
          <w:b/>
          <w:bCs/>
        </w:rPr>
        <w:t xml:space="preserve">eCH-0293 – Öffentlicher Ratsbetrieb (Operations):</w:t>
      </w:r>
      <w:r>
        <w:t xml:space="preserve"> </w:t>
      </w:r>
      <w:r>
        <w:t xml:space="preserve">Beschreibt den öffentlichen Ratsbetrieb – Sitzungen, Traktanden, Wortmeldungen sowie Abstimmungen und Wahlen.</w:t>
      </w:r>
    </w:p>
    <w:p>
      <w:pPr>
        <w:pStyle w:val="Compact"/>
        <w:numPr>
          <w:ilvl w:val="0"/>
          <w:numId w:val="1001"/>
        </w:numPr>
      </w:pPr>
      <w:r>
        <w:rPr>
          <w:b/>
          <w:bCs/>
        </w:rPr>
        <w:t xml:space="preserve">eCH-0294 – Politische Akteure (Actors) – dieser Standard:</w:t>
      </w:r>
      <w:r>
        <w:t xml:space="preserve"> </w:t>
      </w:r>
      <w:r>
        <w:t xml:space="preserve">Definiert Personen, Gruppen und Organe im politischen Kontext sowie deren Mitgliedschaften und Interessenbindungen. Die übrigen Standards referenzieren diese Akteure über ihre Identifikatoren.</w:t>
      </w:r>
    </w:p>
    <w:p>
      <w:pPr>
        <w:pStyle w:val="Compact"/>
        <w:numPr>
          <w:ilvl w:val="0"/>
          <w:numId w:val="1001"/>
        </w:numPr>
      </w:pPr>
      <w:r>
        <w:rPr>
          <w:b/>
          <w:bCs/>
        </w:rPr>
        <w:t xml:space="preserve">eCH-0295 – Parlamentarische Geschäfte (Affairs):</w:t>
      </w:r>
      <w:r>
        <w:t xml:space="preserve"> </w:t>
      </w:r>
      <w:r>
        <w:t xml:space="preserve">Beschreibt den Lebenszyklus politischer Geschäfte.</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24" w:name="X7e8ed3aa63f480bca5e2883d90b324d274d29a0"/>
    <w:p>
      <w:pPr>
        <w:pStyle w:val="berschrift2"/>
      </w:pPr>
      <w:r>
        <w:t xml:space="preserve">Abgrenzung zur Fachgruppe „Politische Rechte”</w:t>
      </w:r>
    </w:p>
    <w:p>
      <w:pPr>
        <w:pStyle w:val="FirstParagraph"/>
      </w:pPr>
      <w:r>
        <w:t xml:space="preserve">Neben der Fachgruppe „Politische Geschäfte” besteht beim Verein eCH die Fachgruppe „Politische Rechte”. Beide betreffen den politischen Bereich, decken aber unterschiedliche Domänen ab:</w:t>
      </w:r>
    </w:p>
    <w:p>
      <w:pPr>
        <w:pStyle w:val="Compact"/>
        <w:numPr>
          <w:ilvl w:val="0"/>
          <w:numId w:val="1002"/>
        </w:numPr>
      </w:pPr>
      <w:r>
        <w:rPr>
          <w:b/>
          <w:bCs/>
        </w:rPr>
        <w:t xml:space="preserve">Politische Geschäfte</w:t>
      </w:r>
      <w:r>
        <w:t xml:space="preserve"> </w:t>
      </w:r>
      <w:r>
        <w:t xml:space="preserve">(diese Standardfamilie) beschreibt den parlamentarischen und behördlichen Willensbildungs- und Entscheidungsprozess: die Akteure (eCH-0294), den Ratsbetrieb (eCH-0293), die parlamentarischen Geschäfte (eCH-0295), die daraus hervorgehenden Erlasse (eCH-0296) sowie die vorgelagerten Vernehmlassungen (eCH-0297).</w:t>
      </w:r>
    </w:p>
    <w:p>
      <w:pPr>
        <w:pStyle w:val="Compact"/>
        <w:numPr>
          <w:ilvl w:val="0"/>
          <w:numId w:val="1002"/>
        </w:numPr>
      </w:pPr>
      <w:r>
        <w:rPr>
          <w:b/>
          <w:bCs/>
        </w:rPr>
        <w:t xml:space="preserve">Politische Rechte</w:t>
      </w:r>
      <w:r>
        <w:t xml:space="preserve"> </w:t>
      </w:r>
      <w:r>
        <w:t xml:space="preserve">befasst sich mit der Ausübung der politischen Rechte durch die Stimmberechtigten: Stimm- und Wahlregister, die Durchführung von Volksabstimmungen und Wahlen, die elektronische Stimmabgabe (eVoting), Stimmrechtsausweise sowie Abstimmungs- und Wahlergebnisse (u.a. eCH-0045, eCH-0110, eCH-0155, eCH-0157, eCH-0159, eCH-0222, eCH-0228, eCH-0252, eCH-0310).</w:t>
      </w:r>
    </w:p>
    <w:p>
      <w:pPr>
        <w:pStyle w:val="FirstParagraph"/>
      </w:pPr>
      <w:r>
        <w:t xml:space="preserve">Berührungspunkte bestehen an zwei Stellen:</w:t>
      </w:r>
    </w:p>
    <w:p>
      <w:pPr>
        <w:pStyle w:val="Compact"/>
        <w:numPr>
          <w:ilvl w:val="0"/>
          <w:numId w:val="1003"/>
        </w:numPr>
      </w:pPr>
      <w:r>
        <w:rPr>
          <w:b/>
          <w:bCs/>
        </w:rPr>
        <w:t xml:space="preserve">Abstimmungen und Wahlen:</w:t>
      </w:r>
      <w:r>
        <w:t xml:space="preserve"> </w:t>
      </w:r>
      <w:r>
        <w:t xml:space="preserve">eCH-0293 erfasst Abstimmungen und Wahlen</w:t>
      </w:r>
      <w:r>
        <w:t xml:space="preserve"> </w:t>
      </w:r>
      <w:r>
        <w:rPr>
          <w:b/>
          <w:bCs/>
        </w:rPr>
        <w:t xml:space="preserve">innerhalb des Ratsbetriebs</w:t>
      </w:r>
      <w:r>
        <w:t xml:space="preserve"> </w:t>
      </w:r>
      <w:r>
        <w:t xml:space="preserve">(z.B. namentliche Abstimmungen im Parlament oder die Wahl von Behördenmitgliedern durch den Rat), während Volksabstimmungen und Volkswahlen samt der zugehörigen Register, Durchführung und Ergebnisse von der Fachgruppe „Politische Rechte” abgedeckt werden.</w:t>
      </w:r>
    </w:p>
    <w:p>
      <w:pPr>
        <w:pStyle w:val="Compact"/>
        <w:numPr>
          <w:ilvl w:val="0"/>
          <w:numId w:val="1003"/>
        </w:numPr>
      </w:pPr>
      <w:r>
        <w:rPr>
          <w:b/>
          <w:bCs/>
        </w:rPr>
        <w:t xml:space="preserve">Gewählte Personen:</w:t>
      </w:r>
      <w:r>
        <w:t xml:space="preserve"> </w:t>
      </w:r>
      <w:r>
        <w:t xml:space="preserve">In den Wahlergebnissen der Fachgruppe „Politische Rechte” erscheinen Kandidierende und Gewählte. Sobald Personen ein Mandat innehaben, werden sie in eCH-0294 als politische Akteurinnen und Akteure mit ihren Rollen und Mitgliedschaften geführt.</w:t>
      </w:r>
    </w:p>
    <w:bookmarkEnd w:id="24"/>
    <w:bookmarkStart w:id="25" w:name="Xfc6035cc9427e04f0ff8787ab58f45b55ea1c22"/>
    <w:p>
      <w:pPr>
        <w:pStyle w:val="berschrift2"/>
      </w:pPr>
      <w:r>
        <w:t xml:space="preserve">Der Standard eCH-0294 – Politische Akteure: Personen, Gruppen und Organe</w:t>
      </w:r>
    </w:p>
    <w:p>
      <w:pPr>
        <w:pStyle w:val="FirstParagraph"/>
      </w:pPr>
      <w:r>
        <w:t xml:space="preserve">Dieser Standard definiert vier Hauptklassen:</w:t>
      </w:r>
    </w:p>
    <w:p>
      <w:pPr>
        <w:pStyle w:val="Compact"/>
        <w:numPr>
          <w:ilvl w:val="0"/>
          <w:numId w:val="1004"/>
        </w:numPr>
      </w:pPr>
      <w:r>
        <w:rPr>
          <w:b/>
          <w:bCs/>
        </w:rPr>
        <w:t xml:space="preserve">Person</w:t>
      </w:r>
      <w:r>
        <w:t xml:space="preserve"> </w:t>
      </w:r>
      <w:r>
        <w:t xml:space="preserve">– Natürliche Personen im politischen Kontext</w:t>
      </w:r>
    </w:p>
    <w:p>
      <w:pPr>
        <w:pStyle w:val="Compact"/>
        <w:numPr>
          <w:ilvl w:val="0"/>
          <w:numId w:val="1004"/>
        </w:numPr>
      </w:pPr>
      <w:r>
        <w:rPr>
          <w:b/>
          <w:bCs/>
        </w:rPr>
        <w:t xml:space="preserve">Group</w:t>
      </w:r>
      <w:r>
        <w:t xml:space="preserve"> </w:t>
      </w:r>
      <w:r>
        <w:t xml:space="preserve">– Gremien, Parteien, Fraktionen, Räte, Kommissionen, Organisationen etc.</w:t>
      </w:r>
    </w:p>
    <w:p>
      <w:pPr>
        <w:pStyle w:val="Compact"/>
        <w:numPr>
          <w:ilvl w:val="0"/>
          <w:numId w:val="1004"/>
        </w:numPr>
      </w:pPr>
      <w:r>
        <w:rPr>
          <w:b/>
          <w:bCs/>
        </w:rPr>
        <w:t xml:space="preserve">Membership</w:t>
      </w:r>
      <w:r>
        <w:t xml:space="preserve"> </w:t>
      </w:r>
      <w:r>
        <w:t xml:space="preserve">– Verbindung zwischen Personen und Gruppen</w:t>
      </w:r>
    </w:p>
    <w:p>
      <w:pPr>
        <w:pStyle w:val="Compact"/>
        <w:numPr>
          <w:ilvl w:val="0"/>
          <w:numId w:val="1004"/>
        </w:numPr>
      </w:pPr>
      <w:r>
        <w:rPr>
          <w:b/>
          <w:bCs/>
        </w:rPr>
        <w:t xml:space="preserve">InterestLink</w:t>
      </w:r>
      <w:r>
        <w:t xml:space="preserve"> </w:t>
      </w:r>
      <w:r>
        <w:t xml:space="preserve">– Interessenbindungen von Personen</w:t>
      </w:r>
    </w:p>
    <w:p>
      <w:pPr>
        <w:pStyle w:val="FirstParagraph"/>
      </w:pPr>
      <w:r>
        <w:rPr>
          <w:rStyle w:val="VerbatimChar"/>
        </w:rPr>
        <w:t xml:space="preserve">Membership</w:t>
      </w:r>
      <w:r>
        <w:t xml:space="preserve"> </w:t>
      </w:r>
      <w:r>
        <w:t xml:space="preserve">ist das zentrale Bindeglied zwischen</w:t>
      </w:r>
      <w:r>
        <w:t xml:space="preserve"> </w:t>
      </w:r>
      <w:r>
        <w:rPr>
          <w:rStyle w:val="VerbatimChar"/>
        </w:rPr>
        <w:t xml:space="preserve">Person</w:t>
      </w:r>
      <w:r>
        <w:t xml:space="preserve"> </w:t>
      </w:r>
      <w:r>
        <w:t xml:space="preserve">und</w:t>
      </w:r>
      <w:r>
        <w:t xml:space="preserve"> </w:t>
      </w:r>
      <w:r>
        <w:rPr>
          <w:rStyle w:val="VerbatimChar"/>
        </w:rPr>
        <w:t xml:space="preserve">Group</w:t>
      </w:r>
      <w:r>
        <w:t xml:space="preserve"> </w:t>
      </w:r>
      <w:r>
        <w:t xml:space="preserve">und hält fest, in welchem Parlament, in welcher Kommission etc. eine Person aktiv ist oder war.</w:t>
      </w:r>
      <w:r>
        <w:t xml:space="preserve"> </w:t>
      </w:r>
      <w:r>
        <w:rPr>
          <w:rStyle w:val="VerbatimChar"/>
        </w:rPr>
        <w:t xml:space="preserve">InterestLink</w:t>
      </w:r>
      <w:r>
        <w:t xml:space="preserve"> </w:t>
      </w:r>
      <w:r>
        <w:t xml:space="preserve">ermöglicht die Beschreibung von Interessenbindungen.</w:t>
      </w:r>
      <w:r>
        <w:t xml:space="preserve"> </w:t>
      </w:r>
    </w:p>
    <w:bookmarkEnd w:id="25"/>
    <w:bookmarkEnd w:id="26"/>
    <w:bookmarkStart w:id="126" w:name="person"/>
    <w:p>
      <w:pPr>
        <w:pStyle w:val="berschrift1"/>
      </w:pPr>
      <w:r>
        <w:t xml:space="preserve">Person</w:t>
      </w:r>
    </w:p>
    <w:p>
      <w:pPr>
        <w:pStyle w:val="FirstParagraph"/>
      </w:pPr>
      <w:r>
        <w:t xml:space="preserve">Das Personenschema beschreibt natürliche Personen im politischen Kontext.</w:t>
      </w:r>
    </w:p>
    <w:p>
      <w:pPr>
        <w:pStyle w:val="Compact"/>
        <w:numPr>
          <w:ilvl w:val="0"/>
          <w:numId w:val="1005"/>
        </w:numPr>
      </w:pPr>
      <w:r>
        <w:rPr>
          <w:b/>
          <w:bCs/>
        </w:rPr>
        <w:t xml:space="preserve">Stabile Person, zeitlich gültige Merkmale:</w:t>
      </w:r>
      <w:r>
        <w:t xml:space="preserve"> </w:t>
      </w:r>
      <w:r>
        <w:t xml:space="preserve">Die</w:t>
      </w:r>
      <w:r>
        <w:t xml:space="preserve"> </w:t>
      </w:r>
      <w:r>
        <w:rPr>
          <w:rStyle w:val="VerbatimChar"/>
        </w:rPr>
        <w:t xml:space="preserve">Person</w:t>
      </w:r>
      <w:r>
        <w:t xml:space="preserve"> </w:t>
      </w:r>
      <w:r>
        <w:t xml:space="preserve">selbst trägt keine zeitliche Gültigkeit, ihre Merkmale hingegen schon – Name, Staatsangehörigkeit, Geschlecht, Beruf und Ausbildung tragen je eigene</w:t>
      </w:r>
      <w:r>
        <w:t xml:space="preserve"> </w:t>
      </w:r>
      <w:r>
        <w:rPr>
          <w:rStyle w:val="VerbatimChar"/>
        </w:rPr>
        <w:t xml:space="preserve">valid_from</w:t>
      </w:r>
      <w:r>
        <w:t xml:space="preserve">/</w:t>
      </w:r>
      <w:r>
        <w:rPr>
          <w:rStyle w:val="VerbatimChar"/>
        </w:rPr>
        <w:t xml:space="preserve">valid_through</w:t>
      </w:r>
      <w:r>
        <w:t xml:space="preserve">. So bleibt die Identität der Person stabil, während sich einzelne Angaben über die Zeit ändern und die Historie erhalten bleibt (z. B. Namensänderung bei Heirat). Der Wahlkreis ist demgegenüber kein Personenmerkmal: Er hängt an der</w:t>
      </w:r>
      <w:r>
        <w:t xml:space="preserve"> </w:t>
      </w:r>
      <w:r>
        <w:rPr>
          <w:rStyle w:val="VerbatimChar"/>
        </w:rPr>
        <w:t xml:space="preserve">Membership</w:t>
      </w:r>
      <w:r>
        <w:t xml:space="preserve"> </w:t>
      </w:r>
      <w:r>
        <w:t xml:space="preserve">(</w:t>
      </w:r>
      <w:r>
        <w:rPr>
          <w:rStyle w:val="VerbatimChar"/>
        </w:rPr>
        <w:t xml:space="preserve">electoral_district</w:t>
      </w:r>
      <w:r>
        <w:t xml:space="preserve">) und erbt deren zeitliche Gültigkeit – ein Wechsel des Wahlkreises bildet sich damit über die jeweilige Mitgliedschaft ab.</w:t>
      </w:r>
    </w:p>
    <w:p>
      <w:pPr>
        <w:pStyle w:val="Compact"/>
        <w:numPr>
          <w:ilvl w:val="0"/>
          <w:numId w:val="1005"/>
        </w:numPr>
      </w:pPr>
      <w:r>
        <w:rPr>
          <w:b/>
          <w:bCs/>
        </w:rPr>
        <w:t xml:space="preserve">Anzeigename (</w:t>
      </w:r>
      <w:r>
        <w:rPr>
          <w:rStyle w:val="VerbatimChar"/>
          <w:b/>
          <w:bCs/>
        </w:rPr>
        <w:t xml:space="preserve">label</w:t>
      </w:r>
      <w:r>
        <w:rPr>
          <w:b/>
          <w:bCs/>
        </w:rPr>
        <w:t xml:space="preserve">) obligatorisch, Namensstruktur (</w:t>
      </w:r>
      <w:r>
        <w:rPr>
          <w:rStyle w:val="VerbatimChar"/>
          <w:b/>
          <w:bCs/>
        </w:rPr>
        <w:t xml:space="preserve">names</w:t>
      </w:r>
      <w:r>
        <w:rPr>
          <w:b/>
          <w:bCs/>
        </w:rPr>
        <w:t xml:space="preserve">) optional:</w:t>
      </w:r>
      <w:r>
        <w:t xml:space="preserve"> </w:t>
      </w:r>
      <w:r>
        <w:t xml:space="preserve">Jede Person hat einen kurzen Anzeigenamen. So ist auch bei unvollständigen Angaben immer ein Name vorhanden. Empfohlen wird die Kombination aus amtlichem Namen (</w:t>
      </w:r>
      <w:r>
        <w:rPr>
          <w:rStyle w:val="VerbatimChar"/>
        </w:rPr>
        <w:t xml:space="preserve">PersonOfficialName</w:t>
      </w:r>
      <w:r>
        <w:t xml:space="preserve">) und Rufname (</w:t>
      </w:r>
      <w:r>
        <w:rPr>
          <w:rStyle w:val="VerbatimChar"/>
        </w:rPr>
        <w:t xml:space="preserve">PersonCallFirstName</w:t>
      </w:r>
      <w:r>
        <w:t xml:space="preserve">). Über</w:t>
      </w:r>
      <w:r>
        <w:t xml:space="preserve"> </w:t>
      </w:r>
      <w:r>
        <w:rPr>
          <w:rStyle w:val="VerbatimChar"/>
        </w:rPr>
        <w:t xml:space="preserve">label_long</w:t>
      </w:r>
      <w:r>
        <w:t xml:space="preserve"> </w:t>
      </w:r>
      <w:r>
        <w:t xml:space="preserve">können auch akademische Titel abgebildet werden.</w:t>
      </w:r>
    </w:p>
    <w:p>
      <w:pPr>
        <w:pStyle w:val="Compact"/>
        <w:numPr>
          <w:ilvl w:val="0"/>
          <w:numId w:val="1005"/>
        </w:numPr>
      </w:pPr>
      <w:r>
        <w:rPr>
          <w:b/>
          <w:bCs/>
        </w:rPr>
        <w:t xml:space="preserve">Namenstypen nach amtlicher Systematik:</w:t>
      </w:r>
      <w:r>
        <w:t xml:space="preserve"> </w:t>
      </w:r>
      <w:r>
        <w:t xml:space="preserve">Die Namenstypen (</w:t>
      </w:r>
      <w:r>
        <w:rPr>
          <w:rStyle w:val="VerbatimChar"/>
        </w:rPr>
        <w:t xml:space="preserve">NameTypeEnum</w:t>
      </w:r>
      <w:r>
        <w:t xml:space="preserve">) übernehmen die Systematik der Registerharmonisierung (u. a. amtlicher Name, angestammter Name, Allianzname, Rufname sowie Varianten für ausländische Ausweise). Massgebend ist der</w:t>
      </w:r>
      <w:r>
        <w:t xml:space="preserve"> </w:t>
      </w:r>
      <w:hyperlink ns1:id="rId27">
        <w:r>
          <w:rPr>
            <w:rStyle w:val="Hyperlink"/>
          </w:rPr>
          <w:t xml:space="preserve">Amtliche Katalog der Merkmale</w:t>
        </w:r>
      </w:hyperlink>
      <w:r>
        <w:t xml:space="preserve">, den das Bundesamt für Statistik gestützt auf Art. 4 des Registerharmonisierungsgesetzes (RHG, SR 431.02) herausgibt; die Nummern in den Wertbeschreibungen (211–224) sind die Merkmalsnummern dieses Katalogs. Das zugehörige Austauschformat definiert der eCH-Standard</w:t>
      </w:r>
      <w:r>
        <w:t xml:space="preserve"> </w:t>
      </w:r>
      <w:hyperlink ns1:id="rId28">
        <w:r>
          <w:rPr>
            <w:rStyle w:val="Hyperlink"/>
          </w:rPr>
          <w:t xml:space="preserve">eCH-0011 Datenstandard Personendaten</w:t>
        </w:r>
      </w:hyperlink>
      <w:r>
        <w:t xml:space="preserve">, auf den dieser Standard damit aufsetzt. Die Namen sind so mit den amtlichen Personenregistern kompatibel und ihre Semantik ist klar.</w:t>
      </w:r>
    </w:p>
    <w:p>
      <w:pPr>
        <w:pStyle w:val="Compact"/>
        <w:numPr>
          <w:ilvl w:val="0"/>
          <w:numId w:val="1005"/>
        </w:numPr>
      </w:pPr>
      <w:r>
        <w:rPr>
          <w:b/>
          <w:bCs/>
        </w:rPr>
        <w:t xml:space="preserve">Geburtsdatum in zwei Genauigkeitsstufen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Ist das genaue Geburtsdatum nicht verfügbar oder nicht zur Veröffentlichung bestimmt, kann nur das Geburtsjahr angegeben werden. Liegt ein</w:t>
      </w:r>
      <w:r>
        <w:t xml:space="preserve"> </w:t>
      </w:r>
      <w:r>
        <w:rPr>
          <w:rStyle w:val="VerbatimChar"/>
        </w:rPr>
        <w:t xml:space="preserve">birth_date</w:t>
      </w:r>
      <w:r>
        <w:t xml:space="preserve"> </w:t>
      </w:r>
      <w:r>
        <w:t xml:space="preserve">vor, hat es Vorrang.</w:t>
      </w:r>
    </w:p>
    <w:p>
      <w:pPr>
        <w:pStyle w:val="Compact"/>
        <w:numPr>
          <w:ilvl w:val="0"/>
          <w:numId w:val="1005"/>
        </w:numPr>
      </w:pPr>
      <w:r>
        <w:rPr>
          <w:b/>
          <w:bCs/>
        </w:rPr>
        <w:t xml:space="preserve">Mehrfachwerte statt Einzelwerte:</w:t>
      </w:r>
      <w:r>
        <w:t xml:space="preserve"> </w:t>
      </w:r>
      <w:r>
        <w:t xml:space="preserve">Namen, Staatsangehörigkeiten und Geschlechtsangaben sind als Listen mit zeitlicher Gültigkeit modelliert – etwa für Doppelbürgerschaften, Namensänderungen oder eine sich ändernde Geschlechtsangabe.</w:t>
      </w:r>
    </w:p>
    <w:p>
      <w:pPr>
        <w:pStyle w:val="Compact"/>
        <w:numPr>
          <w:ilvl w:val="0"/>
          <w:numId w:val="1005"/>
        </w:numPr>
      </w:pPr>
      <w:r>
        <w:rPr>
          <w:b/>
          <w:bCs/>
        </w:rPr>
        <w:t xml:space="preserve">Geschlecht: amtliche Codes plus offene Kategorie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und</w:t>
      </w:r>
      <w:r>
        <w:t xml:space="preserve"> </w:t>
      </w:r>
      <w:r>
        <w:rPr>
          <w:rStyle w:val="VerbatimChar"/>
        </w:rPr>
        <w:t xml:space="preserve">female</w:t>
      </w:r>
      <w:r>
        <w:t xml:space="preserve"> </w:t>
      </w:r>
      <w:r>
        <w:t xml:space="preserve">entsprechen den Werten der Registerharmonisierung und verweisen über</w:t>
      </w:r>
      <w:r>
        <w:t xml:space="preserve"> </w:t>
      </w:r>
      <w:r>
        <w:rPr>
          <w:rStyle w:val="VerbatimChar"/>
        </w:rPr>
        <w:t xml:space="preserve">meaning</w:t>
      </w:r>
      <w:r>
        <w:t xml:space="preserve"> </w:t>
      </w:r>
      <w:r>
        <w:t xml:space="preserve">auf die I14Y-Konzepte</w:t>
      </w:r>
      <w:r>
        <w:t xml:space="preserve"> </w:t>
      </w:r>
      <w:r>
        <w:rPr>
          <w:rStyle w:val="VerbatimChar"/>
        </w:rPr>
        <w:t xml:space="preserve">sex/1</w:t>
      </w:r>
      <w:r>
        <w:t xml:space="preserve"> </w:t>
      </w:r>
      <w:r>
        <w:t xml:space="preserve">und</w:t>
      </w:r>
      <w:r>
        <w:t xml:space="preserve"> </w:t>
      </w:r>
      <w:r>
        <w:rPr>
          <w:rStyle w:val="VerbatimChar"/>
        </w:rPr>
        <w:t xml:space="preserve">sex/2</w:t>
      </w:r>
      <w:r>
        <w:t xml:space="preserve">. Für</w:t>
      </w:r>
      <w:r>
        <w:t xml:space="preserve"> </w:t>
      </w:r>
      <w:r>
        <w:rPr>
          <w:rStyle w:val="VerbatimChar"/>
        </w:rPr>
        <w:t xml:space="preserve">non_binary</w:t>
      </w:r>
      <w:r>
        <w:t xml:space="preserve"> </w:t>
      </w:r>
      <w:r>
        <w:t xml:space="preserve">gibt es dort bewusst keine Entsprechung: Die amtliche Codeliste kennt als dritten Wert nur „unbestimmt”, was etwas anderes bedeutet als eine positive Angabe jenseits von männlich und weiblich. Ist das Geschlecht nicht bekannt, wird deshalb gar kein Eintrag gesetzt — ein fehlender Eintrag und</w:t>
      </w:r>
      <w:r>
        <w:t xml:space="preserve"> </w:t>
      </w:r>
      <w:r>
        <w:rPr>
          <w:rStyle w:val="VerbatimChar"/>
        </w:rPr>
        <w:t xml:space="preserve">non_binary</w:t>
      </w:r>
      <w:r>
        <w:t xml:space="preserve"> </w:t>
      </w:r>
      <w:r>
        <w:t xml:space="preserve">sind klar zu unterscheiden.</w:t>
      </w:r>
    </w:p>
    <w:p>
      <w:pPr>
        <w:pStyle w:val="Compact"/>
        <w:numPr>
          <w:ilvl w:val="0"/>
          <w:numId w:val="1005"/>
        </w:numPr>
      </w:pPr>
      <w:r>
        <w:rPr>
          <w:b/>
          <w:bCs/>
        </w:rPr>
        <w:t xml:space="preserve">Harmonisierung über föderale Ebenen (Langzeitziel):</w:t>
      </w:r>
      <w:r>
        <w:t xml:space="preserve"> </w:t>
      </w:r>
      <w:r>
        <w:t xml:space="preserve">Die Verknüpfung derselben Person über die föderalen Ebenen hinweg ist ein wichtiges Langzeitziel. Der Aufbau einer zentralen Personendatenbank liegt ausserhalb der Möglichkeiten der eCH-Fachgruppe. Da für diesen Zweck bereits eine offene, etablierte Infrastruktur besteht, wird</w:t>
      </w:r>
      <w:r>
        <w:t xml:space="preserve"> </w:t>
      </w:r>
      <w:r>
        <w:rPr>
          <w:b/>
          <w:bCs/>
        </w:rPr>
        <w:t xml:space="preserve">Wikidata als übergreifender Identifikator empfohlen</w:t>
      </w:r>
      <w:r>
        <w:t xml:space="preserve"> </w:t>
      </w:r>
      <w:r>
        <w:t xml:space="preserve">(</w:t>
      </w:r>
      <w:r>
        <w:rPr>
          <w:rStyle w:val="VerbatimChar"/>
        </w:rPr>
        <w:t xml:space="preserve">wikidata_uri</w:t>
      </w:r>
      <w:r>
        <w:t xml:space="preserve">); zusammen mit global eindeutigen Identifikatoren (URIs) lässt sich die Zuordnung so schrittweise über die Systeme hinweg harmonisieren.</w:t>
      </w:r>
    </w:p>
    <w:bookmarkStart w:id="38" w:name="klasse-person"/>
    <w:p>
      <w:pPr>
        <w:pStyle w:val="berschrift2"/>
      </w:pPr>
      <w:r>
        <w:t xml:space="preserve">Klasse: Person</w:t>
      </w:r>
    </w:p>
    <w:p>
      <w:pPr>
        <w:pStyle w:val="FirstParagraph"/>
      </w:pPr>
      <w:r>
        <w:rPr>
          <w:i/>
          <w:iCs/>
        </w:rPr>
        <w:t xml:space="preserve">Eine Person mit Identifikatoren, Namen, Adressen, Staatsbürgerschaften und Berufen.</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 Bevorzugt: PersonOfficialName (amtlicher Name) kombiniert mit PersonCallFirstName (Rufname).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Geburtsjahr. Nur zu verwenden, wenn kein vollständiges</w:t>
            </w:r>
            <w:r>
              <w:t xml:space="preserve"> </w:t>
            </w:r>
            <w:r>
              <w:rPr>
                <w:rStyle w:val="VerbatimChar"/>
              </w:rPr>
              <w:t xml:space="preserve">birthDate</w:t>
            </w:r>
            <w:r>
              <w:t xml:space="preserve"> </w:t>
            </w:r>
            <w:r>
              <w:t xml:space="preserve">vorhanden ist.</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Genaues Geburtsdatum, sofern verfügbar und öffentlich. Dieses Feld hat Vorrang vor dem Feld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Genaues Todesdatum.</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zu einem Bild (bevorzugt: PNG, dann JPG, dann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Namen der Person mit Typ und Wert.</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Adressen mit Typ (privat, geschäftlich, lokal).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Sprachkompetenzen der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Staatsbürgerschaften der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Geschlecht der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Berufe oder Tätigkeiten der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Ausbildungen oder Bildungen der Person. Richtlinie: Im Grundsatz nur die höchste Ausbildung angeben.</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Sammlung von Interessenbindungen.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9"/>
    <w:bookmarkStart w:id="30" w:name="verwendungen"/>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beispiele"/>
    <w:p>
      <w:pPr>
        <w:pStyle w:val="berschrift3"/>
      </w:pPr>
      <w:r>
        <w:t xml:space="preserve">Beispiele</w:t>
      </w:r>
    </w:p>
    <w:bookmarkStart w:id="31" w:name="Xb686d7db36f78f60cf850198a8c4a9bd99bbd84"/>
    <w:p>
      <w:pPr>
        <w:pStyle w:val="berschrift4"/>
      </w:pPr>
      <w:r>
        <w:t xml:space="preserve">Beispiel Person: Namensvariante neben dem amtlichen Doppelnamen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378b12c357e63ecbad9971b28177b90c097dfed"/>
    <w:p>
      <w:pPr>
        <w:pStyle w:val="berschrift4"/>
      </w:pPr>
      <w:r>
        <w:t xml:space="preserve">Beispiel Person: Rufname weicht vom amtlichen Vornamen ab</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255089285a6b02a85b39dc700fb12099a6692cd"/>
    <w:p>
      <w:pPr>
        <w:pStyle w:val="berschrift4"/>
      </w:pPr>
      <w:r>
        <w:t xml:space="preserve">Beispiel Person: Nicht-binäre Geschlechtsangabe mit Beruf und Abschluss</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4ed3488c67ea38baf7ef8211518b720287c57f7"/>
    <w:p>
      <w:pPr>
        <w:pStyle w:val="berschrift4"/>
      </w:pPr>
      <w:r>
        <w:t xml:space="preserve">Beispiel Person: Gleichnamige Personen über das Label unterscheiden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2ddc3d9104daf1b846c57aa2c803d342c60858a"/>
    <w:p>
      <w:pPr>
        <w:pStyle w:val="berschrift4"/>
      </w:pPr>
      <w:r>
        <w:t xml:space="preserve">Beispiel Person: Vollständig erfasste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ed150efbbf1ac65abd7d18bde8f5aba72360008"/>
    <w:p>
      <w:pPr>
        <w:pStyle w:val="berschrift4"/>
      </w:pPr>
      <w:r>
        <w:t xml:space="preserve">Beispiel Person: Gleichnamige Personen über das Label unterscheiden (zweite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klasse-name"/>
    <w:p>
      <w:pPr>
        <w:pStyle w:val="berschrift2"/>
      </w:pPr>
      <w:r>
        <w:t xml:space="preserve">Klasse: Name</w:t>
      </w:r>
    </w:p>
    <w:p>
      <w:pPr>
        <w:pStyle w:val="FirstParagraph"/>
      </w:pPr>
      <w:r>
        <w:rPr>
          <w:i/>
          <w:iCs/>
        </w:rPr>
        <w:t xml:space="preserve">Ein Name mit einem Typ (z.B. Rufname, amtlicher Name) und einem Wert und einer zeitlichen Gültigkeit.</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 des Namens gemäss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39"/>
    <w:bookmarkStart w:id="40" w:name="verwendungen-1"/>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Kategorien von Namenstypen gemäss eCH-0011 (personNameData) und dem Amtlichen Katalog der Merkmale der Registerharmonisierung (https://www.bfs.admin.ch/bfs/de/home/register/personenregister/registerharmonisierung/nomenklaturen.assetdetail.24565576.html), URI gemäss I14Y Identifier aber als Klasse und nicht als Attribut. Beschreibungen und Übersetzungen gemäss I14Y.</w:t>
      </w:r>
    </w:p>
    <w:p>
      <w:pPr>
        <w:pStyle w:val="Textkrper"/>
      </w:pPr>
      <w:r>
        <w:t xml:space="preserve">URI:</w:t>
      </w:r>
      <w:r>
        <w:t xml:space="preserve"> </w:t>
      </w:r>
      <w:hyperlink ns1:id="rId42">
        <w:r>
          <w:rPr>
            <w:rStyle w:val="Hyperlink"/>
          </w:rPr>
          <w:t xml:space="preserve">act:NameTypeEnum</w:t>
        </w:r>
      </w:hyperlink>
    </w:p>
    <w:bookmarkStart w:id="54" w:name="zulässige-werte"/>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PersonOfficialName</w:t>
            </w:r>
          </w:p>
        </w:tc>
        <w:tc>
          <w:tcPr>
            <w:shd w:val="clear" w:color="auto" w:fill="F2F2F2"/>
          </w:tcPr>
          <w:p>
            <w:pPr>
              <w:pStyle w:val="Compact"/>
            </w:pPr>
            <w:r>
              <w:t xml:space="preserve">Name gemäss amtlichen Unterlagen. Der amtliche Name entspricht dem Namen im schweizerischen Zivilstandsregister. Bei ausländischen Personen ohne Zivilstandsereignis in der Schweiz entspricht dieser Name dem Namen im ausländischen Pass oder auf der Identitätskarte (siehe 214 sowie Weisung des SEM über die Bestimmung und Schreibweise der Namen von ausländischen Staatsangehörigen vom 1. Januar 2012. Im Ausnahmefall siehe auch</w:t>
            </w:r>
            <w:r>
              <w:t xml:space="preserve"> </w:t>
            </w:r>
            <w:r>
              <w:t xml:space="preserve">“Name nach Deklaration”</w:t>
            </w:r>
            <w:r>
              <w:t xml:space="preserve"> </w:t>
            </w:r>
            <w:r>
              <w:t xml:space="preserve">(z. B. Asyl), wenn keine amtlichen Dokumente vorliegen). Der amtliche Name kann aus einem oder mehreren Teilen bestehen. Gemäss amtlichen Katalog der Merkmale (Nr. 211) Registerharmonisierung.</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Angestammter Name gemäss amtlichen Unterlagen, den eine Person unmittelbar vor ihrer ersten Eheschliessung oder Begründung einer eingetragenen Partnerschaft geführt hat oder, gestützt auf einen Namensänderungsentscheid, als neuen Ledignamen erworben hat (Art. 24 Abs. 2 ZStV, SR 211.112.2). Gemäss amtlichen Katalog der Merkmale (Nr. 212) Registerharmonisierung.</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Der Allianzname zeigt die Verbindung von zwei Personen auf, die verheiratet sind oder in einer eingetragenen Partnerschaft leben. Ein bereits verwendeter Allianzname kann nach Auflösung der Ehe oder der Partnerschaft weiterverwendet werden, wenn der amtliche Name bei der Auflösung nicht geändert wurde. Dabei wird dem amtlichen Namen mittels Bindestrich der Ledigname des Partners/der Partnerin oder der eigene Ledigname angehängt. Der Allianzname kann auf Antrag im Pass oder auf der Identitätskarte eingetragen werden. Gemäss amtlichen Katalog der Merkmale (Nr. 213) Registerharmonisierung.</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Für Personen mit ausländischer Nationalität. Dieser Name entspricht dem Eintrag im Reisepass gemäss der maschinenlesbaren Zone (MRZ) des Reisepasses. Enthält die MRZ abgekürzte Namen oder Vornamen, sind diese möglichst in voller Länge gemäss visuell lesbarer Zone des Ausweispapieres zu erfassen. Gemäss amtlichen Katalog der Merkmale (Nr. 214) Registerharmonisierung.</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(z. B. Künstler- oder Ordensname), der aufgrund eines bewilligten Gesuchs geführt werden darf. Der Aliasname kann aus einem oder mehreren Teilen (z. B. auch aus Aliasvorname und Aliasname) bestehen. Gemäss amtlichen Katalog der Merkmale (Nr. 215) Registerharmonisierung.</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Weitere amtliche Namen gemäss schweizerischen Zivilstandsdokumenten (Art. 24 Abs. 3 ZStV) oder ausländischen Dokumenten, welche weder Familiennamen noch Vornamen sind. Gemäss amtlichen Katalog der Merkmale (Nr. 216) Registerharmonisierung.</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Für Personen mit ausländischer Nationalität, die keine offiziellen Dokumente besitzen (hauptsächlich im Asylbereich). Gemäss amtlichen Katalog der Merkmale (Nr. 217) Registerharmonisierung.</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Vornamen gemäss Geburtsurkunde oder Zivilstandsregister/Infostar in der aufgeführten Reihenfolge bzw. gemäss ausländischen Ausweispapieren. Gemäss amtlichen Katalog der Merkmale (Nr. 221) Registerharmonisierung.</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Eine Person hat das Recht, aus der Liste ihrer amtlichen Vornamen einen Rufnamen auszuwählen. Der Rufname kann aus einem oder mehreren Vornamen (aus den</w:t>
            </w:r>
            <w:r>
              <w:t xml:space="preserve"> </w:t>
            </w:r>
            <w:r>
              <w:t xml:space="preserve">“amtlichen Vornamen”</w:t>
            </w:r>
            <w:r>
              <w:t xml:space="preserve">) bestehen. Gemäss amtlichen Katalog der Merkmale (Nr. 222) Registerharmonisierung.</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Für Personen mit ausländischer Nationalität. Zu benutzen in Verbindung mit dem Namen im ausländischen Pass. Gemäss amtlichen Katalog der Merkmale (Nr. 223) Registerharmonisierung.</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Für Personen mit ausländischer Nationalität, die keine amtlichen Dokumente besitzen (hauptsächlich im Asylbereich). Zu benutzen in Verbindung mit dem Namen gemäss Deklaration. Gemäss amtlichen Katalog der Merkmale (Nr. 224) Registerharmonisierung.</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klasse-languageproficiency"/>
    <w:p>
      <w:pPr>
        <w:pStyle w:val="berschrift2"/>
      </w:pPr>
      <w:r>
        <w:t xml:space="preserve">Klasse: LanguageProficiency</w:t>
      </w:r>
    </w:p>
    <w:p>
      <w:pPr>
        <w:pStyle w:val="FirstParagraph"/>
      </w:pPr>
      <w:r>
        <w:rPr>
          <w:i/>
          <w:iCs/>
        </w:rPr>
        <w:t xml:space="preserve">Sprachkenntnisse einer Person mit Angabe der Sprache und ob es sich um die bevorzugte Sprache oder die Muttersprache handelt.</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es sich um die bevorzugte Sprache handelt.</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es sich um die Muttersprache handelt.</w:t>
            </w:r>
          </w:p>
        </w:tc>
      </w:tr>
    </w:tbl>
    <w:bookmarkEnd w:id="56"/>
    <w:bookmarkStart w:id="57" w:name="verwendungen-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klasse-citizenship"/>
    <w:p>
      <w:pPr>
        <w:pStyle w:val="berschrift2"/>
      </w:pPr>
      <w:r>
        <w:t xml:space="preserve">Klasse: Citizenship</w:t>
      </w:r>
    </w:p>
    <w:p>
      <w:pPr>
        <w:pStyle w:val="FirstParagraph"/>
      </w:pPr>
      <w:r>
        <w:rPr>
          <w:i/>
          <w:iCs/>
        </w:rPr>
        <w:t xml:space="preserve">Staatsangehörigkeit (wird auch für Nationalität verwendet) einer Person unter Angabe des Landes und der zeitlichen Gültigkeit. Wenn kein</w:t>
      </w:r>
      <w:r>
        <w:rPr>
          <w:i/>
          <w:iCs/>
        </w:rPr>
        <w:t xml:space="preserve"> </w:t>
      </w:r>
      <w:r>
        <w:rPr>
          <w:rStyle w:val="VerbatimChar"/>
          <w:i/>
          <w:iCs/>
        </w:rPr>
        <w:t xml:space="preserve">valid_from</w:t>
      </w:r>
      <w:r>
        <w:rPr>
          <w:i/>
          <w:iCs/>
        </w:rPr>
        <w:t xml:space="preserve"> </w:t>
      </w:r>
      <w:r>
        <w:rPr>
          <w:i/>
          <w:iCs/>
        </w:rPr>
        <w:t xml:space="preserve">angegeben ist, ist diese Information nicht bekannt. Ist bekannt, dass die Staatsangehörigkeit seit der Geburt gültig ist, ist das Geburtsdatum hier anzugeben. Wenn kein</w:t>
      </w:r>
      <w:r>
        <w:rPr>
          <w:i/>
          <w:iCs/>
        </w:rPr>
        <w:t xml:space="preserve"> </w:t>
      </w:r>
      <w:r>
        <w:rPr>
          <w:rStyle w:val="VerbatimChar"/>
          <w:i/>
          <w:iCs/>
        </w:rPr>
        <w:t xml:space="preserve">valid_through</w:t>
      </w:r>
      <w:r>
        <w:rPr>
          <w:i/>
          <w:iCs/>
        </w:rPr>
        <w:t xml:space="preserve"> </w:t>
      </w:r>
      <w:r>
        <w:rPr>
          <w:i/>
          <w:iCs/>
        </w:rPr>
        <w:t xml:space="preserve">angegeben ist, ist die Staatsangehörigkeit weiterhin gültig.</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Ländercode.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59"/>
    <w:bookmarkStart w:id="60" w:name="verwendungen-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klasse-gender"/>
    <w:p>
      <w:pPr>
        <w:pStyle w:val="berschrift2"/>
      </w:pPr>
      <w:r>
        <w:t xml:space="preserve">Klasse: Gender</w:t>
      </w:r>
    </w:p>
    <w:p>
      <w:pPr>
        <w:pStyle w:val="FirstParagraph"/>
      </w:pPr>
      <w:r>
        <w:rPr>
          <w:i/>
          <w:iCs/>
        </w:rPr>
        <w:t xml:space="preserve">Geschlecht einer Person mit Angabe eines Geschlechtscodes und der zeitlichen Gültigkeit.</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Geschlechtscode. Empfohlene Werte: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Von der Person verwendete Pronomen.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62"/>
    <w:bookmarkStart w:id="63" w:name="verwendungen-4"/>
    <w:p>
      <w:pPr>
        <w:pStyle w:val="berschrift3"/>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Geschlechtscodes für Personen. Wenn das Geschlecht nicht bekannt ist, soll kein Geschlechtseintrag hinzugefügt werden. Der Code</w:t>
      </w:r>
      <w:r>
        <w:rPr>
          <w:i/>
          <w:iCs/>
        </w:rPr>
        <w:t xml:space="preserve"> </w:t>
      </w:r>
      <w:r>
        <w:rPr>
          <w:rStyle w:val="VerbatimChar"/>
          <w:i/>
          <w:iCs/>
        </w:rPr>
        <w:t xml:space="preserve">non_binary</w:t>
      </w:r>
      <w:r>
        <w:rPr>
          <w:i/>
          <w:iCs/>
        </w:rPr>
        <w:t xml:space="preserve"> </w:t>
      </w:r>
      <w:r>
        <w:rPr>
          <w:i/>
          <w:iCs/>
        </w:rPr>
        <w:t xml:space="preserve">soll zusammen mit einer Bezeichnung verwendet werden, um weitere Angaben zum selbst deklarierten Geschlecht bereitzustellen.</w:t>
      </w:r>
    </w:p>
    <w:p>
      <w:pPr>
        <w:pStyle w:val="Textkrper"/>
      </w:pPr>
      <w:r>
        <w:t xml:space="preserve">URI:</w:t>
      </w:r>
      <w:r>
        <w:t xml:space="preserve"> </w:t>
      </w:r>
      <w:hyperlink ns1:id="rId65">
        <w:r>
          <w:rPr>
            <w:rStyle w:val="Hyperlink"/>
          </w:rPr>
          <w:t xml:space="preserve">act:GenderCodeEnum</w:t>
        </w:r>
      </w:hyperlink>
    </w:p>
    <w:bookmarkStart w:id="68" w:name="zulässige-werte-1"/>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male</w:t>
            </w:r>
          </w:p>
        </w:tc>
        <w:tc>
          <w:tcPr>
            <w:shd w:val="clear" w:color="auto" w:fill="F2F2F2"/>
          </w:tcPr>
          <w:p>
            <w:pPr>
              <w:pStyle w:val="Compact"/>
            </w:pPr>
            <w:r>
              <w:t xml:space="preserve">Männlich.</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Weiblich.</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nicht-binär.</w:t>
            </w:r>
          </w:p>
        </w:tc>
      </w:tr>
    </w:tbl>
    <w:bookmarkEnd w:id="68"/>
    <w:bookmarkEnd w:id="69"/>
    <w:bookmarkStart w:id="76" w:name="klasse-occupation"/>
    <w:p>
      <w:pPr>
        <w:pStyle w:val="berschrift2"/>
      </w:pPr>
      <w:r>
        <w:t xml:space="preserve">Klasse: Occupation</w:t>
      </w:r>
    </w:p>
    <w:p>
      <w:pPr>
        <w:pStyle w:val="FirstParagraph"/>
      </w:pPr>
      <w:r>
        <w:rPr>
          <w:i/>
          <w:iCs/>
        </w:rPr>
        <w:t xml:space="preserve">Beruf oder Tätigkeit einer Person mit Angabe eines Labels, eines ISCO-19 Codes, ob die Tätigkeit bezahlt ist, und der zeitlichen Gültigkeit.</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Tätigkeit bezahlt ist.</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Tätigkeit.</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der Organisation oder des Unternehmens.</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0" w:name="einschränkungen"/>
    <w:p>
      <w:pPr>
        <w:pStyle w:val="berschrift5"/>
      </w:pPr>
      <w:r>
        <w:t xml:space="preserve">Einschränkungen</w:t>
      </w:r>
    </w:p>
    <w:p>
      <w:pPr>
        <w:pStyle w:val="FirstParagraph"/>
      </w:pPr>
      <w:r>
        <w:t xml:space="preserve">Mindestens eines der folgenden Felder muss gesetzt sein:</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verwendungen-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beispiele-1"/>
    <w:p>
      <w:pPr>
        <w:pStyle w:val="berschrift3"/>
      </w:pPr>
      <w:r>
        <w:t xml:space="preserve">Beispiele</w:t>
      </w:r>
    </w:p>
    <w:bookmarkStart w:id="73" w:name="X434a0f141705d8dc225cced0b13a54d37c460ae"/>
    <w:p>
      <w:pPr>
        <w:pStyle w:val="berschrift4"/>
      </w:pPr>
      <w:r>
        <w:t xml:space="preserve">Beispiel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afc04170f3aacf8241ba033f995473bb07fd20"/>
    <w:p>
      <w:pPr>
        <w:pStyle w:val="berschrift4"/>
      </w:pPr>
      <w:r>
        <w:t xml:space="preserve">Beispiel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klasse-training"/>
    <w:p>
      <w:pPr>
        <w:pStyle w:val="berschrift2"/>
      </w:pPr>
      <w:r>
        <w:t xml:space="preserve">Klasse: Training</w:t>
      </w:r>
    </w:p>
    <w:p>
      <w:pPr>
        <w:pStyle w:val="FirstParagraph"/>
      </w:pPr>
      <w:r>
        <w:rPr>
          <w:i/>
          <w:iCs/>
        </w:rPr>
        <w:t xml:space="preserve">Ausbildung oder Bildung einer Person mit Angabe eines Typs (z.B. Schulabschluss, Universitätsabschluss, Militärdienst), eines Labels, eines ISCO-19 Codes und der zeitlichen Gültigkeit.</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 der Ausbildung oder Bildung.</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der Ausbildung oder Bildung.</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Der eigentliche Wert einer Information neben weiteren attributen wie Typ, Sprache,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77" w:name="einschränkungen-1"/>
    <w:p>
      <w:pPr>
        <w:pStyle w:val="berschrift5"/>
      </w:pPr>
      <w:r>
        <w:t xml:space="preserve">Einschränkungen</w:t>
      </w:r>
    </w:p>
    <w:p>
      <w:pPr>
        <w:pStyle w:val="FirstParagraph"/>
      </w:pPr>
      <w:r>
        <w:t xml:space="preserve">Mindestens eines der folgenden Felder muss gesetzt sein:</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verwendungen-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Ausbildungs- oder Bildungstypen basierend auf der BFS LEVEL_EDUC Codeliste.</w:t>
      </w:r>
    </w:p>
    <w:p>
      <w:pPr>
        <w:pStyle w:val="Textkrper"/>
      </w:pPr>
      <w:r>
        <w:t xml:space="preserve">URI:</w:t>
      </w:r>
      <w:r>
        <w:t xml:space="preserve"> </w:t>
      </w:r>
      <w:hyperlink ns1:id="rId81">
        <w:r>
          <w:rPr>
            <w:rStyle w:val="Hyperlink"/>
          </w:rPr>
          <w:t xml:space="preserve">act:TrainingTypeEnum</w:t>
        </w:r>
      </w:hyperlink>
    </w:p>
    <w:bookmarkStart w:id="124" w:name="zulässige-werte-2"/>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10</w:t>
            </w:r>
          </w:p>
        </w:tc>
        <w:tc>
          <w:tcPr>
            <w:shd w:val="clear" w:color="auto" w:fill="F2F2F2"/>
          </w:tcPr>
          <w:p>
            <w:pPr>
              <w:pStyle w:val="Compact"/>
            </w:pPr>
            <w:r>
              <w:t xml:space="preserve">Maximal obligatorische Schule.</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Keine Ausbildung.</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Obligatorische Schule besucht, aber nicht abgeschlossen.</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Obligatorische Schule.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1-jährige Ausbildung / Brückenangebot.</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Sekundarstufe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Sekundarstufe II - Berufsbildung.</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Berufslehre im Betrieb (EFZ / EBA) / Anlehre / Berufsschule / Handelsschule.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2-jährige Berufslehre im Betrieb (EBA) / Anlehre / Berufsschule / Handelsschule.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2-jährige Berufslehre im Betrieb (EBA) / Anlehre.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2-jährige Berufsschule / Handelsschule.</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3- bis 4-jährige Berufslehre im Betrieb (EFZ) / Berufsschule / Handelsschule.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3- bis 4-jährige Berufslehre im Betrieb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3- bis 4-jährige Berufsschule / Handelsschule.</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Sekundarstufe II - Allgemeinbildung.</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Fachmittelschule / Diplommittelschule.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2-jährige Fachmittelschule / Diplommittelschule.</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3-jährige Fachmittelschule / Diplommittelschule.</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Gymnasiale Maturität / Lehrkräfteseminar.</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Gymnasiale Maturität.</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Lehrkräfteseminar.</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Berufs- oder Fachmaturität.</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Berufsmaturität.</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Fachmaturität.</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Tertiärstufe.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Höhere Berufsbildung.</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Berufsprüfung mit eidg. Fachausweis / Höhere Fachprüfung mit eidg. Diplom / Meisterdiplom.</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Berufsprüfung mit eidg. Fachausweis.</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Höhere Fachprüfung mit eidg. Diplom / Meisterdiplom.</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Höhere Fachschule.</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Höhere Fachschule (HF) 2 Jahre Voll- oder 3 Jahre Teilzeitstudium.</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Höhere Fachschule (HF) 3 Jahre Voll- oder 4 Jahre Teilzeitstudium.</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Hochschule.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Universität, ETH, Fachhochschule, pädagogische Hochschule (inklusive Diplom FH / PH).</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Fachhochschule (inklusive Diplom FH).</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pädagogische Hochschule (inklusive Diplom PH).</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Universität, ETH.</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Universität, ETH, Fachhochschule, pädagogische Hochschule (inklusive Lizentiat / Diplom).</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Fachhochschule.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pädagogische Hochschule.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Universität, ETH (inklusive Lizentiat / Diplom Universität / ETH).</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Doktorat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Militärdienst (Schweizer Armee). Den erreichten Grad im Feld</w:t>
            </w:r>
            <w:r>
              <w:t xml:space="preserve"> </w:t>
            </w:r>
            <w:r>
              <w:rPr>
                <w:rStyle w:val="VerbatimChar"/>
              </w:rPr>
              <w:t xml:space="preserve">value</w:t>
            </w:r>
            <w:r>
              <w:t xml:space="preserve"> </w:t>
            </w:r>
            <w:r>
              <w:t xml:space="preserve">angeben.</w:t>
            </w:r>
          </w:p>
        </w:tc>
      </w:tr>
    </w:tbl>
    <w:bookmarkEnd w:id="124"/>
    <w:p>
      <w:r>
        <w:br w:type="page"/>
      </w:r>
    </w:p>
    <w:bookmarkEnd w:id="125"/>
    <w:bookmarkEnd w:id="126"/>
    <w:bookmarkStart w:id="170" w:name="gruppen-und-organe-groups"/>
    <w:p>
      <w:pPr>
        <w:pStyle w:val="berschrift1"/>
      </w:pPr>
      <w:r>
        <w:t xml:space="preserve">Gruppen und Organe (Groups)</w:t>
      </w:r>
    </w:p>
    <w:p>
      <w:pPr>
        <w:pStyle w:val="FirstParagraph"/>
      </w:pPr>
      <w:r>
        <w:t xml:space="preserve">Das Group-Schema bildet politische Gruppen, Organisationen und Körperschaften ab.</w:t>
      </w:r>
    </w:p>
    <w:p>
      <w:pPr>
        <w:pStyle w:val="Compact"/>
        <w:numPr>
          <w:ilvl w:val="0"/>
          <w:numId w:val="1008"/>
        </w:numPr>
      </w:pPr>
      <w:r>
        <w:rPr>
          <w:b/>
          <w:bCs/>
        </w:rPr>
        <w:t xml:space="preserve">Ein generisches Modell statt vieler Spezialklassen:</w:t>
      </w:r>
      <w:r>
        <w:t xml:space="preserve"> </w:t>
      </w:r>
      <w:r>
        <w:t xml:space="preserve">Parlamente, Parteien, Fraktionen, Kommissionen, Departemente, Gerichte und zivilgesellschaftliche Organisationen werden alle als</w:t>
      </w:r>
      <w:r>
        <w:t xml:space="preserve"> </w:t>
      </w:r>
      <w:r>
        <w:rPr>
          <w:i/>
          <w:iCs/>
        </w:rPr>
        <w:t xml:space="preserve">eine</w:t>
      </w:r>
      <w:r>
        <w:t xml:space="preserve"> </w:t>
      </w:r>
      <w:r>
        <w:t xml:space="preserve">Klasse</w:t>
      </w:r>
      <w:r>
        <w:t xml:space="preserve"> </w:t>
      </w:r>
      <w:r>
        <w:rPr>
          <w:rStyle w:val="VerbatimChar"/>
        </w:rPr>
        <w:t xml:space="preserve">Group</w:t>
      </w:r>
      <w:r>
        <w:t xml:space="preserve"> </w:t>
      </w:r>
      <w:r>
        <w:t xml:space="preserve">abgebildet und über</w:t>
      </w:r>
      <w:r>
        <w:t xml:space="preserve"> </w:t>
      </w:r>
      <w:r>
        <w:rPr>
          <w:rStyle w:val="VerbatimChar"/>
        </w:rPr>
        <w:t xml:space="preserve">group_type</w:t>
      </w:r>
      <w:r>
        <w:t xml:space="preserve"> </w:t>
      </w:r>
      <w:r>
        <w:t xml:space="preserve">unterschieden. Das hält das Modell einfach und ohne Schemaänderung erweiterbar – Legislative, Exekutive, Judikative und Zivilgesellschaft sind damit gleichermassen abbildbar.</w:t>
      </w:r>
    </w:p>
    <w:p>
      <w:pPr>
        <w:pStyle w:val="Compact"/>
        <w:numPr>
          <w:ilvl w:val="0"/>
          <w:numId w:val="1008"/>
        </w:numPr>
      </w:pPr>
      <w:r>
        <w:rPr>
          <w:b/>
          <w:bCs/>
        </w:rPr>
        <w:t xml:space="preserve">Gruppen und Sub-Gruppen über</w:t>
      </w:r>
      <w:r>
        <w:rPr>
          <w:b/>
          <w:bCs/>
        </w:rPr>
        <w:t xml:space="preserve"> </w:t>
      </w:r>
      <w:r>
        <w:rPr>
          <w:rStyle w:val="VerbatimChar"/>
          <w:b/>
          <w:bCs/>
        </w:rPr>
        <w:t xml:space="preserve">parent_groups</w:t>
      </w:r>
      <w:r>
        <w:rPr>
          <w:b/>
          <w:bCs/>
        </w:rPr>
        <w:t xml:space="preserve">:</w:t>
      </w:r>
      <w:r>
        <w:t xml:space="preserve"> </w:t>
      </w:r>
      <w:r>
        <w:t xml:space="preserve">Untergeordnete Gruppen verweisen auf ihre übergeordnete Gruppe – z. B. eine Kommission des Ständerats, eine Subkommission innerhalb einer Kommission, eine Kantonalpartei unter ihrer Mutterpartei oder eine Behörde innerhalb einer Direktion. Die Hierarchie entsteht so aus diesen Verweisen statt aus einer festen Ebenenstruktur. Sie bleibt meist innerhalb desselben</w:t>
      </w:r>
      <w:r>
        <w:t xml:space="preserve"> </w:t>
      </w:r>
      <w:r>
        <w:rPr>
          <w:rStyle w:val="VerbatimChar"/>
        </w:rPr>
        <w:t xml:space="preserve">group_type</w:t>
      </w:r>
      <w:r>
        <w:t xml:space="preserve">; typenübergreifende Verweise sind aber möglich (z. B. eine Fraktion, die auf ihr Parlament verweist). Massgebend ist dabei allein die Über-/Unterordnung: Die Parteien, welche eine Fraktion tragen, sind ihr nicht übergeordnet. Ihr Verhältnis zur Fraktion bleibt im Standard bewusst unabgebildet – es ist keine Hierarchie, und eine tragfähige allgemeine Form dafür gibt es nicht, weil Fraktionen je nach Rat unterschiedlich eng an Parteien gebunden sind. Wo die Zugehörigkeit sichtbar sein muss, tut sie es über die Mitgliedschaften der einzelnen Personen. Der Verweis erfolgt als</w:t>
      </w:r>
      <w:r>
        <w:t xml:space="preserve"> </w:t>
      </w:r>
      <w:r>
        <w:rPr>
          <w:rStyle w:val="VerbatimChar"/>
        </w:rPr>
        <w:t xml:space="preserve">GroupReference</w:t>
      </w:r>
      <w:r>
        <w:t xml:space="preserve"> </w:t>
      </w:r>
      <w:r>
        <w:t xml:space="preserve">– dieselbe Form, mit der eine Mitgliedschaft ihre Gruppe benennt. Dass es sich um eine Über-/Unterordnung handelt, sagt dabei der Slot</w:t>
      </w:r>
      <w:r>
        <w:t xml:space="preserve"> </w:t>
      </w:r>
      <w:r>
        <w:rPr>
          <w:rStyle w:val="VerbatimChar"/>
        </w:rPr>
        <w:t xml:space="preserve">parent_groups</w:t>
      </w:r>
      <w:r>
        <w:t xml:space="preserve"> </w:t>
      </w:r>
      <w:r>
        <w:t xml:space="preserve">selbst; die Referenz trägt nur die Adressierung. Diese kann über die</w:t>
      </w:r>
      <w:r>
        <w:t xml:space="preserve"> </w:t>
      </w:r>
      <w:r>
        <w:rPr>
          <w:rStyle w:val="VerbatimChar"/>
        </w:rPr>
        <w:t xml:space="preserve">local_id</w:t>
      </w:r>
      <w:r>
        <w:t xml:space="preserve"> </w:t>
      </w:r>
      <w:r>
        <w:t xml:space="preserve">erfolgen, wenn die übergeordnete Gruppe Teil derselben Lieferung ist, oder über die</w:t>
      </w:r>
      <w:r>
        <w:t xml:space="preserve"> </w:t>
      </w:r>
      <w:r>
        <w:rPr>
          <w:rStyle w:val="VerbatimChar"/>
        </w:rPr>
        <w:t xml:space="preserve">global_uri</w:t>
      </w:r>
      <w:r>
        <w:t xml:space="preserve">, wenn sie ausserhalb liegt – eine Kantonalpartei kann so auf ihre Bundespartei verweisen, ohne dass diese mitgeliefert werden muss. Sind beide bekannt, werden beide angegeben.</w:t>
      </w:r>
    </w:p>
    <w:p>
      <w:pPr>
        <w:pStyle w:val="Compact"/>
        <w:numPr>
          <w:ilvl w:val="0"/>
          <w:numId w:val="1008"/>
        </w:numPr>
      </w:pPr>
      <w:r>
        <w:rPr>
          <w:b/>
          <w:bCs/>
        </w:rPr>
        <w:t xml:space="preserve">Zeitliche Gültigkeit auch für Gruppen:</w:t>
      </w:r>
      <w:r>
        <w:t xml:space="preserve"> </w:t>
      </w:r>
      <w:r>
        <w:t xml:space="preserve">Über</w:t>
      </w:r>
      <w:r>
        <w:t xml:space="preserve"> </w:t>
      </w:r>
      <w:r>
        <w:rPr>
          <w:rStyle w:val="VerbatimChar"/>
        </w:rPr>
        <w:t xml:space="preserve">valid_from</w:t>
      </w:r>
      <w:r>
        <w:t xml:space="preserve">/</w:t>
      </w:r>
      <w:r>
        <w:rPr>
          <w:rStyle w:val="VerbatimChar"/>
        </w:rPr>
        <w:t xml:space="preserve">valid_through</w:t>
      </w:r>
      <w:r>
        <w:t xml:space="preserve"> </w:t>
      </w:r>
      <w:r>
        <w:t xml:space="preserve">lassen sich z. B. nur während einer Legislatur bestehende Kommissionen oder Umbenennungen und Fusionen von Parteien abbilden.</w:t>
      </w:r>
    </w:p>
    <w:bookmarkStart w:id="140" w:name="klasse-group"/>
    <w:p>
      <w:pPr>
        <w:pStyle w:val="berschrift2"/>
      </w:pPr>
      <w:r>
        <w:t xml:space="preserve">Klasse: Group</w:t>
      </w:r>
    </w:p>
    <w:p>
      <w:pPr>
        <w:pStyle w:val="FirstParagraph"/>
      </w:pPr>
      <w:r>
        <w:rPr>
          <w:i/>
          <w:iCs/>
        </w:rPr>
        <w:t xml:space="preserve">Eine politische Gruppe, Organisation oder Körperschaft (z.B. Partei, Kommission, Parlament, Departement).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Klasse der Gruppierung, wie z.B. Partei, Kommission, Parlament oder ähnliches. Die genaue Benennung und Beschreibung der Gruppierung wird über</w:t>
            </w:r>
            <w:r>
              <w:t xml:space="preserve"> </w:t>
            </w:r>
            <w:r>
              <w:rPr>
                <w:rStyle w:val="VerbatimChar"/>
              </w:rPr>
              <w:t xml:space="preserve">label</w:t>
            </w:r>
            <w:r>
              <w:t xml:space="preserve"> </w:t>
            </w:r>
            <w:r>
              <w:t xml:space="preserve">gemacht.</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Bezeichnung der Gruppe mit der Sprache, in der sie publiziert wird. Ist eine Gruppe amtlich in mehreren Sprachen benannt, wird pro Sprache ein Eintrag erfasst.</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Abkürzung (kann mehrsprachig sein).</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Kurze Beschreibung der Gruppierung.</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mit weiteren Informationen. Wird die Website je Sprache unter einer eigenen Adresse publiziert, wird pro Sprache ein Eintrag erfasst.</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Verweis auf die übergeordneten Gruppen als GroupReference, also angegeben über deren local_id oder deren global_uri. Hierher gehört nur eine echte Über-/Unterordnung: die Mutterpartei einer Kantonalpartei, die Hierarchie in der Exekutive, eine Subkommission unter ihrer Kommission oder eine Fraktion unter ihrem Parlament. (parentGroup wird typischerweise im selben group_type verwendet, typenübergreifende Verknüpfungen sind aber erlaubt, z.B. Fraktion → Parlament.) Die eine Fraktion tragenden Parteien sind ihr nicht übergeordnet und werden hier deshalb nicht angegeben.</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Kontaktinformationen (E-Mail, Website, Social Media). Richtlinie: E-Mail ist quasi-obligatorisch und sollte wenn vorhanden immer angegeben werden.</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Adressen mit Typ (privat, geschäftlich, lokal).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zu Parteistatuten (PDF oder Webseite; optional für Parteien).</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Parteifarbe als Hexadezimalwert (optional für Parteien, z.B.</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End w:id="127"/>
    <w:bookmarkStart w:id="128" w:name="verwendungen-7"/>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beispiele-2"/>
    <w:p>
      <w:pPr>
        <w:pStyle w:val="berschrift3"/>
      </w:pPr>
      <w:r>
        <w:t xml:space="preserve">Beispiele</w:t>
      </w:r>
    </w:p>
    <w:bookmarkStart w:id="129" w:name="X1352d79b87d989692154b4ee7c4e0721d34c7c8"/>
    <w:p>
      <w:pPr>
        <w:pStyle w:val="berschrift4"/>
      </w:pPr>
      <w:r>
        <w:t xml:space="preserve">Beispiel Group: Fraktion mit Verweis auf das übergeordnete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88e6455e84712b1bdc1d8db27e7cb65d142da3b"/>
    <w:p>
      <w:pPr>
        <w:pStyle w:val="berschrift4"/>
      </w:pPr>
      <w:r>
        <w:t xml:space="preserve">Beispiel Group: Kommission mit Verweis auf ihren Kantonsrat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d5ec0200cc5f7f33dab60cc8a11e69807330b"/>
    <w:p>
      <w:pPr>
        <w:pStyle w:val="berschrift4"/>
      </w:pPr>
      <w:r>
        <w:t xml:space="preserve">Beispiel Group: Staatskanzlei mit Verweis auf ihre Regierung</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8cde5fe4cf3e242432f3c60c7a854fafcd6637"/>
    <w:p>
      <w:pPr>
        <w:pStyle w:val="berschrift4"/>
      </w:pPr>
      <w:r>
        <w:t xml:space="preserve">Beispiel Group: Zweisprachige Delegation in ein interkantonales Gremium</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573357faef18a897c413956fc3f47bff79a3454"/>
    <w:p>
      <w:pPr>
        <w:pStyle w:val="berschrift4"/>
      </w:pPr>
      <w:r>
        <w:t xml:space="preserve">Beispiel Group: Ausserparlamentarische Kommission mit Entscheidbefugnis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59cc39c4b6e76e0bfea8a1ffa540ab3d37dd04c"/>
    <w:p>
      <w:pPr>
        <w:pStyle w:val="berschrift4"/>
      </w:pPr>
      <w:r>
        <w:t xml:space="preserve">Beispiel Group: Kantonalpartei mit Verweis auf die Bundespartei</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a47c4f4d26d0af27edaee964d3ad31e579d5e0"/>
    <w:p>
      <w:pPr>
        <w:pStyle w:val="berschrift4"/>
      </w:pPr>
      <w:r>
        <w:t xml:space="preserve">Beispiel Group: Gemeindeparlament mit räumlicher Referenz</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114831ce96cc5c8bc33a76c52eee4cda68b4f5e"/>
    <w:p>
      <w:pPr>
        <w:pStyle w:val="berschrift4"/>
      </w:pPr>
      <w:r>
        <w:t xml:space="preserve">Beispiel Group: Verein mit UID und Rechtsform aus dem Handelsregister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fad1f78ac5aa25d15d9ff9bf42c4a3f1e5b3679"/>
    <w:p>
      <w:pPr>
        <w:pStyle w:val="berschrift4"/>
      </w:pPr>
      <w:r>
        <w:t xml:space="preserve">Beispiel Group: Ratsbüro mit Verweis auf sein Parlament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9f836ccf6fb53b63a5196030c061564c4d539b2"/>
    <w:p>
      <w:pPr>
        <w:pStyle w:val="berschrift4"/>
      </w:pPr>
      <w:r>
        <w:t xml:space="preserve">Beispiel Group: Interessengruppe mit dreisprachigem Namen und Kontakt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klasse-grouptype"/>
    <w:p>
      <w:pPr>
        <w:pStyle w:val="berschrift2"/>
      </w:pPr>
      <w:r>
        <w:t xml:space="preserve">Klasse: GroupType</w:t>
      </w:r>
    </w:p>
    <w:p>
      <w:pPr>
        <w:pStyle w:val="FirstParagraph"/>
      </w:pPr>
      <w:r>
        <w:rPr>
          <w:i/>
          <w:iCs/>
        </w:rPr>
        <w:t xml:space="preserve">Art der Gruppe (z.B. Partei, Kommission, Parlament, Departement).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zum kontrollierten Vokabular für Gruppentypen.</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Bezeichnung des Typs, wie ihn die publizierende Stelle verwendet, mit der Sprache, in der sie publiziert wird. Publiziert eine Stelle die Bezeichnung in mehreren Sprachen, wird pro Sprache ein Eintrag erfasst.</w:t>
            </w:r>
          </w:p>
        </w:tc>
      </w:tr>
    </w:tbl>
    <w:bookmarkEnd w:id="141"/>
    <w:bookmarkStart w:id="142" w:name="verwendungen-8"/>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Kontrolliertes Vokabular für die Art einer Gruppe. Es umfasst die Räte und ihre Organe, Versammlungen, Kommissionen und Delegationen, Parteien, Fraktionen und Wahllisten, die Einheiten der Verwaltung, Gerichte und Aufsichtsorgane sowie Organisationen ausserhalb des Staates.</w:t>
      </w:r>
    </w:p>
    <w:p>
      <w:pPr>
        <w:pStyle w:val="Textkrper"/>
      </w:pPr>
      <w:r>
        <w:rPr>
          <w:i/>
          <w:iCs/>
        </w:rPr>
        <w:t xml:space="preserve">Ein</w:t>
      </w:r>
      <w:r>
        <w:rPr>
          <w:i/>
          <w:iCs/>
        </w:rPr>
        <w:t xml:space="preserve"> </w:t>
      </w:r>
      <w:r>
        <w:rPr>
          <w:rStyle w:val="VerbatimChar"/>
          <w:i/>
          <w:iCs/>
        </w:rPr>
        <w:t xml:space="preserve">group_type</w:t>
      </w:r>
      <w:r>
        <w:rPr>
          <w:i/>
          <w:iCs/>
        </w:rPr>
        <w:t xml:space="preserve"> </w:t>
      </w:r>
      <w:r>
        <w:rPr>
          <w:i/>
          <w:iCs/>
        </w:rPr>
        <w:t xml:space="preserve">muss immer gesetzt werden. Massgebend ist die politische Funktion, nicht die örtliche Bezeichnung; diese wird im Label festgehalten. Findet sich kein passender Wert, wird</w:t>
      </w:r>
      <w:r>
        <w:rPr>
          <w:i/>
          <w:iCs/>
        </w:rPr>
        <w:t xml:space="preserve"> </w:t>
      </w:r>
      <w:r>
        <w:rPr>
          <w:rStyle w:val="VerbatimChar"/>
          <w:i/>
          <w:iCs/>
        </w:rPr>
        <w:t xml:space="preserve">other</w:t>
      </w:r>
      <w:r>
        <w:rPr>
          <w:i/>
          <w:iCs/>
        </w:rPr>
        <w:t xml:space="preserve"> </w:t>
      </w:r>
      <w:r>
        <w:rPr>
          <w:i/>
          <w:iCs/>
        </w:rPr>
        <w:t xml:space="preserve">gesetzt.</w:t>
      </w:r>
    </w:p>
    <w:p>
      <w:pPr>
        <w:pStyle w:val="Textkrper"/>
      </w:pPr>
      <w:r>
        <w:rPr>
          <w:i/>
          <w:iCs/>
        </w:rPr>
        <w:t xml:space="preserve">Die Rechtsform gehört nicht in dieses Vokabular, sondern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zulässige-werte-3"/>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party</w:t>
            </w:r>
          </w:p>
        </w:tc>
        <w:tc>
          <w:tcPr>
            <w:shd w:val="clear" w:color="auto" w:fill="F2F2F2"/>
          </w:tcPr>
          <w:p>
            <w:pPr>
              <w:pStyle w:val="Compact"/>
            </w:pPr>
            <w:r>
              <w:t xml:space="preserve">Politische Partei auf Bundes-, Kantons- oder Gemeindeebene. Jede föderale Ebene wird als eigene Gruppe geführt (z.B. Bundespartei, Kantonspartei, Gemeindesektion).</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Wahlliste (kann Teil einer Partei sein oder unabhängig).</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Ad-hoc-Arbeitsgruppe, typischerweise mit begrenzter Laufzeit.</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Versammlung der Stimmberechtigten als gesetzgebendes Organ, insbesondere die Gemeindeversammlung und, auf Kantonsebene, die Landsgemeinde. Anders als ein Rat ist sie kein gewähltes Gremium.</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Parlament auf Bundes-, Kantons- oder Gemeindeebene (z.B. Bundesversammlung, Nationalrat, Ständerat, Grosser Rat, Kantonsrat, Gemeindeparlament).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Ständige Kommission, einschliesslich Aufsichtskommissionen (z.B. GPK), Sachkommissionen, Parlamentarische Untersuchungskommissionen (PUK) und Rechnungsprüfungskommissionen.</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Kommission, die für eine einzelne Aufgabe eingesetzt und nach deren Erledigung wieder aufgelöst wird, im Unterschied zur ständigen Kommission.</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Parlamentsfraktion.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 das den Geschäftsgang eines Rates leitet, unabhängig von der örtlichen Bezeichnung (Büro, Ratsleitung, Geschäftsleitung). Wird für den Legislativ- wie für den Exekutivrat verwendet; die örtliche Benennung wird im Label festgehalten.</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Präsidium eines Rates, für den Legislativ- wie für den Exekutivrat.</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Regierung / Exekutive als Gesamtorgan (z.B. Bundesrat, Regierungsrat, Stadtrat / Gemeinderat).</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Departement, z.B. Departement oder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Amt, häufig die Einheit unterhalb des Departements.</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Kommission, die in der Regel von der Regierung eingesetzt wird, um die Verwaltung fachlich zu beraten und deren Geschäfte vorzuberaten; einzelne verfügen darüber hinaus über eigene Entscheidbefugnisse. Sie unterscheidet sich von einer parlamentarischen Kommission durch Zusammensetzung und Rechtsgrundlage: Ihre Mitglieder sind externe Fachleute und Interessenvertreterinnen und -vertreter statt Ratsmitglieder, und sie stützt sich auf das Organisationsrecht von Regierung und Verwaltung statt auf das Parlamentsrecht. Den Typ gibt es auf Bundes- wie auf Kantonsebene (z.B. die Wettbewerbskommission des Bundes; im Kanton Waadt die commissions extraparlementaires). Eine Kommission, deren Mitglieder Ratsmitglieder sind, fällt auch dann nicht unter diesen Wert, wenn sie bei der Exekutive angesiedelt ist; sie wird als Kommission oder Ad-hoc-Kommission mit dem Exekutivrat als übergeordneter Gruppe erfasst.</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Interessengruppe zu einem Sachthema: sowohl die parlamentarische Gruppe, in der sich Ratsmitglieder fraktionsübergreifend zusammenschliessen, als auch die Interessengruppe aus der Zivilgesellschaft.</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Unabhängiges Aufsichts- oder Prüforgan, das dem beaufsichtigten Organ nicht angehört und ihm nicht berichtet (z.B. Eidgenössische Finanzkontrolle EFK und kantonale Finanzkontrollen, Aufsichtsbehörde über die Bundesanwaltschaft AB-BA, Eidgenössische Finanzmarktaufsicht FINMA, Ombudsstellen).</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Verwaltungseinheit, die einen Rat bedient, unabhängig von der örtlichen Bezeichnung (Parlamentsdienste, Ratssekretariat, Staats-, Kantons-, Standes-, Stadt- oder Gemeindekanzlei). Wird für den Legislativ- wie für den Exekutivrat verwendet: Die Staatskanzlei ist die Stabsstelle des Exekutivrates, die Parlamentsdienste sind jene des Legislativrates.</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Gericht / Judikative auf jeder Ebene (z.B. Bundesgericht, Kantonsgericht, Bezirksgericht).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Verein.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Petitionsträger.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Universität oder Bildungseinrichtung als ausgelagerter Träger öffentlicher Aufgaben.</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Anderer Gruppentyp, nicht durch Standardkategorien abgedeckt.</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itgliedschaften-memberships"/>
    <w:p>
      <w:pPr>
        <w:pStyle w:val="berschrift1"/>
      </w:pPr>
      <w:r>
        <w:t xml:space="preserve">Mitgliedschaften (Memberships)</w:t>
      </w:r>
    </w:p>
    <w:p>
      <w:pPr>
        <w:pStyle w:val="FirstParagraph"/>
      </w:pPr>
      <w:r>
        <w:t xml:space="preserve">Das Membership-Schema bildet die Beziehung zwischen Personen und Gruppen ab und ist das zentrale Bindeglied im Akteur-Schema.</w:t>
      </w:r>
    </w:p>
    <w:p>
      <w:pPr>
        <w:pStyle w:val="Compact"/>
        <w:numPr>
          <w:ilvl w:val="0"/>
          <w:numId w:val="1009"/>
        </w:numPr>
      </w:pPr>
      <w:r>
        <w:rPr>
          <w:b/>
          <w:bCs/>
        </w:rPr>
        <w:t xml:space="preserve">Abgrenzung zu Interessenbindungen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erfasst die</w:t>
      </w:r>
      <w:r>
        <w:t xml:space="preserve"> </w:t>
      </w:r>
      <w:r>
        <w:rPr>
          <w:i/>
          <w:iCs/>
        </w:rPr>
        <w:t xml:space="preserve">formale Zugehörigkeit</w:t>
      </w:r>
      <w:r>
        <w:t xml:space="preserve"> </w:t>
      </w:r>
      <w:r>
        <w:t xml:space="preserve">einer Person zu einer Gruppe innerhalb des Akteur-Schemas (z. B. Partei-, Kommissions- oder Parlamentsmitgliedschaft). Interessenbindungen und Interessenkonflikte zu Organisationen</w:t>
      </w:r>
      <w:r>
        <w:t xml:space="preserve"> </w:t>
      </w:r>
      <w:r>
        <w:rPr>
          <w:i/>
          <w:iCs/>
        </w:rPr>
        <w:t xml:space="preserve">ausserhalb</w:t>
      </w:r>
      <w:r>
        <w:t xml:space="preserve"> </w:t>
      </w:r>
      <w:r>
        <w:t xml:space="preserve">des Schemas sind bewusst davon getrennt und werden über</w:t>
      </w:r>
      <w:r>
        <w:t xml:space="preserve"> </w:t>
      </w:r>
      <w:r>
        <w:rPr>
          <w:rStyle w:val="VerbatimChar"/>
        </w:rPr>
        <w:t xml:space="preserve">InterestLink</w:t>
      </w:r>
      <w:r>
        <w:t xml:space="preserve"> </w:t>
      </w:r>
      <w:r>
        <w:t xml:space="preserve">abgebildet (siehe folgendes Kapitel).</w:t>
      </w:r>
    </w:p>
    <w:p>
      <w:pPr>
        <w:pStyle w:val="Compact"/>
        <w:numPr>
          <w:ilvl w:val="0"/>
          <w:numId w:val="1009"/>
        </w:numPr>
      </w:pPr>
      <w:r>
        <w:rPr>
          <w:b/>
          <w:bCs/>
        </w:rPr>
        <w:t xml:space="preserve">Referenz mit Momentaufnahme statt Einbettung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Eine Mitgliedschaft verweist auf Person und Gruppe und hält dabei deren wichtigste Identifikationsmerkmale zum Zeitpunkt der Verknüpfung fest. So bleibt der Eintrag historisch korrekt, auch wenn sich Person oder Gruppe später ändern.</w:t>
      </w:r>
    </w:p>
    <w:p>
      <w:pPr>
        <w:pStyle w:val="Compact"/>
        <w:numPr>
          <w:ilvl w:val="0"/>
          <w:numId w:val="1009"/>
        </w:numPr>
      </w:pPr>
      <w:r>
        <w:rPr>
          <w:b/>
          <w:bCs/>
        </w:rPr>
        <w:t xml:space="preserve">Aktivität explizit oder abgeleitet (</w:t>
      </w:r>
      <w:r>
        <w:rPr>
          <w:rStyle w:val="VerbatimChar"/>
          <w:b/>
          <w:bCs/>
        </w:rPr>
        <w:t xml:space="preserve">is_active</w:t>
      </w:r>
      <w:r>
        <w:rPr>
          <w:b/>
          <w:bCs/>
        </w:rPr>
        <w:t xml:space="preserve">):</w:t>
      </w:r>
      <w:r>
        <w:t xml:space="preserve"> </w:t>
      </w:r>
      <w:r>
        <w:t xml:space="preserve">Ob eine Mitgliedschaft aktiv ist, kann explizit über</w:t>
      </w:r>
      <w:r>
        <w:t xml:space="preserve"> </w:t>
      </w:r>
      <w:r>
        <w:rPr>
          <w:rStyle w:val="VerbatimChar"/>
        </w:rPr>
        <w:t xml:space="preserve">is_active</w:t>
      </w:r>
      <w:r>
        <w:t xml:space="preserve"> </w:t>
      </w:r>
      <w:r>
        <w:t xml:space="preserve">gesetzt oder aus der zeitlichen Gültigkeit abgeleitet werden. Ist</w:t>
      </w:r>
      <w:r>
        <w:t xml:space="preserve"> </w:t>
      </w:r>
      <w:r>
        <w:rPr>
          <w:rStyle w:val="VerbatimChar"/>
        </w:rPr>
        <w:t xml:space="preserve">is_active</w:t>
      </w:r>
      <w:r>
        <w:t xml:space="preserve"> </w:t>
      </w:r>
      <w:r>
        <w:t xml:space="preserve">nicht gesetzt, ergibt sich die Aktivität aus</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Mitgliedschaft ≠ Stimmrecht (</w:t>
      </w:r>
      <w:r>
        <w:rPr>
          <w:rStyle w:val="VerbatimChar"/>
          <w:b/>
          <w:bCs/>
        </w:rPr>
        <w:t xml:space="preserve">authorized_to_vote</w:t>
      </w:r>
      <w:r>
        <w:rPr>
          <w:b/>
          <w:bCs/>
        </w:rPr>
        <w:t xml:space="preserve">):</w:t>
      </w:r>
      <w:r>
        <w:t xml:space="preserve"> </w:t>
      </w:r>
      <w:r>
        <w:t xml:space="preserve">Das Stimmrecht wird getrennt von der Mitgliedschaft geführt – typischerweise</w:t>
      </w:r>
      <w:r>
        <w:t xml:space="preserve"> </w:t>
      </w:r>
      <w:r>
        <w:rPr>
          <w:rStyle w:val="VerbatimChar"/>
        </w:rPr>
        <w:t xml:space="preserve">false</w:t>
      </w:r>
      <w:r>
        <w:t xml:space="preserve"> </w:t>
      </w:r>
      <w:r>
        <w:t xml:space="preserve">bei Ersatzmitgliedern (ausser im Einsatz), Beobachtenden, dem Sekretariat und Gästen.</w:t>
      </w:r>
    </w:p>
    <w:p>
      <w:pPr>
        <w:pStyle w:val="Compact"/>
        <w:numPr>
          <w:ilvl w:val="0"/>
          <w:numId w:val="1009"/>
        </w:numPr>
      </w:pPr>
      <w:r>
        <w:rPr>
          <w:b/>
          <w:bCs/>
        </w:rPr>
        <w:t xml:space="preserve">Rolle als kontrolliertes Vokabular mit Freitext-Option (</w:t>
      </w:r>
      <w:r>
        <w:rPr>
          <w:rStyle w:val="VerbatimChar"/>
          <w:b/>
          <w:bCs/>
        </w:rPr>
        <w:t xml:space="preserve">role_type</w:t>
      </w:r>
      <w:r>
        <w:rPr>
          <w:b/>
          <w:bCs/>
        </w:rPr>
        <w:t xml:space="preserve">):</w:t>
      </w:r>
      <w:r>
        <w:t xml:space="preserve"> </w:t>
      </w:r>
      <w:r>
        <w:t xml:space="preserve">Die Rolle in der Gruppe (z. B. Mitglied, Präsidium, Stellvertretung) wird über ein kontrolliertes Vokabular (</w:t>
      </w:r>
      <w:r>
        <w:rPr>
          <w:rStyle w:val="VerbatimChar"/>
        </w:rPr>
        <w:t xml:space="preserve">RoleEnum</w:t>
      </w:r>
      <w:r>
        <w:t xml:space="preserve">) angegeben; für nicht abgedeckte Rollen dient der Wert</w:t>
      </w:r>
      <w:r>
        <w:t xml:space="preserve"> </w:t>
      </w:r>
      <w:r>
        <w:rPr>
          <w:rStyle w:val="VerbatimChar"/>
        </w:rPr>
        <w:t xml:space="preserve">other</w:t>
      </w:r>
      <w:r>
        <w:t xml:space="preserve"> </w:t>
      </w:r>
      <w:r>
        <w:t xml:space="preserve">mit einer freien Bezeichnung.</w:t>
      </w:r>
    </w:p>
    <w:p>
      <w:pPr>
        <w:pStyle w:val="Compact"/>
        <w:numPr>
          <w:ilvl w:val="0"/>
          <w:numId w:val="1009"/>
        </w:numPr>
      </w:pPr>
      <w:r>
        <w:rPr>
          <w:b/>
          <w:bCs/>
        </w:rPr>
        <w:t xml:space="preserve">Wahlkreis an der Mitgliedschaft statt an der Person (</w:t>
      </w:r>
      <w:r>
        <w:rPr>
          <w:rStyle w:val="VerbatimChar"/>
          <w:b/>
          <w:bCs/>
        </w:rPr>
        <w:t xml:space="preserve">electoral_district</w:t>
      </w:r>
      <w:r>
        <w:rPr>
          <w:b/>
          <w:bCs/>
        </w:rPr>
        <w:t xml:space="preserve">):</w:t>
      </w:r>
      <w:r>
        <w:t xml:space="preserve"> </w:t>
      </w:r>
      <w:r>
        <w:t xml:space="preserve">Der Wahlkreis beschreibt nicht die Person, sondern das Mandat – dieselbe Person kann über die Zeit oder auf verschiedenen föderalen Ebenen aus unterschiedlichen Wahlkreisen gewählt sein.</w:t>
      </w:r>
      <w:r>
        <w:t xml:space="preserve"> </w:t>
      </w:r>
      <w:r>
        <w:rPr>
          <w:rStyle w:val="VerbatimChar"/>
        </w:rPr>
        <w:t xml:space="preserve">ElectoralDistrict</w:t>
      </w:r>
      <w:r>
        <w:t xml:space="preserve"> </w:t>
      </w:r>
      <w:r>
        <w:t xml:space="preserve">führt deshalb keine eigene zeitliche Gültigkeit, sondern erbt die</w:t>
      </w:r>
      <w:r>
        <w:t xml:space="preserve"> </w:t>
      </w:r>
      <w:r>
        <w:rPr>
          <w:rStyle w:val="VerbatimChar"/>
        </w:rPr>
        <w:t xml:space="preserve">valid_from</w:t>
      </w:r>
      <w:r>
        <w:t xml:space="preserve">/</w:t>
      </w:r>
      <w:r>
        <w:rPr>
          <w:rStyle w:val="VerbatimChar"/>
        </w:rPr>
        <w:t xml:space="preserve">valid_through</w:t>
      </w:r>
      <w:r>
        <w:t xml:space="preserve"> </w:t>
      </w:r>
      <w:r>
        <w:t xml:space="preserve">der umschliessenden Mitgliedschaft. Für die Identifikation sind die LINDAS-Ressourcen der Schweizer Raumeinheiten vorgesehen (siehe</w:t>
      </w:r>
      <w:r>
        <w:t xml:space="preserve"> </w:t>
      </w:r>
      <w:r>
        <w:rPr>
          <w:rStyle w:val="VerbatimChar"/>
        </w:rPr>
        <w:t xml:space="preserve">global_uri</w:t>
      </w:r>
      <w:r>
        <w:t xml:space="preserve">). Ob ein Wahlkreis so identifizierbar ist, hängt davon ab, ob er mit einer amtlichen Raumeinheit zusammenfällt: Im Kanton Basel-Stadt sind die Wahlkreise Riehen und Bettingen Gemeinden und haben eine LINDAS-Ressource, während Grossbasel-Ost, Grossbasel-West und Kleinbasel Wohnviertel der Gemeinde Basel zusammenfassen und keine haben. Wahlkreise ohne amtliche Entsprechung erhalten einen Identifikator im Namensraum der publizierenden Stelle.</w:t>
      </w:r>
    </w:p>
    <w:bookmarkStart w:id="182" w:name="klasse-membership"/>
    <w:p>
      <w:pPr>
        <w:pStyle w:val="berschrift2"/>
      </w:pPr>
      <w:r>
        <w:t xml:space="preserve">Klasse: Membership</w:t>
      </w:r>
    </w:p>
    <w:p>
      <w:pPr>
        <w:pStyle w:val="FirstParagraph"/>
      </w:pPr>
      <w:r>
        <w:rPr>
          <w:i/>
          <w:iCs/>
        </w:rPr>
        <w:t xml:space="preserve">Eine Mitgliedschaftsbeziehung zwischen einer Person und einer Gruppe, die eine formale Zugehörigkeit darstellt (z.B. Parteimitglied, Kommissionsmitglied, Parlamentarier/in). Im Unterschied zu InterestLink, der externe Interessenbindungen und Interessenkonflikte zu Organisationen ausserhalb des Akteur-Schemas abbildet.</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Kurzreferenz auf eine Gruppe, welche deren Merkmale zum Zeitpunkt der Verknüpfung festhält.</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Wahlkreis der Mitgliedschaft. Wird angegeben, wo das Mandat in einem Wahlkreis errungen wurde; er wird deshalb an der Mitgliedschaft geführt und nicht an der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Rolle der Person in der Mitgliedschaft oder Funktion.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Person in der Gruppe stimmberechtigt ist. Typischerweise false für Ersatzmitglieder (wenn nicht im Einsatz), Beobachter/innen, Sekretär/innen und Gäste.</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Mitgliedschaft derzeit aktiv ist. Kann</w:t>
            </w:r>
            <w:r>
              <w:t xml:space="preserve"> </w:t>
            </w:r>
            <w:r>
              <w:rPr>
                <w:rStyle w:val="VerbatimChar"/>
              </w:rPr>
              <w:t xml:space="preserve">valid_from</w:t>
            </w:r>
            <w:r>
              <w:t xml:space="preserve">/</w:t>
            </w:r>
            <w:r>
              <w:rPr>
                <w:rStyle w:val="VerbatimChar"/>
              </w:rPr>
              <w:t xml:space="preserve">valid_through</w:t>
            </w:r>
            <w:r>
              <w:t xml:space="preserve"> </w:t>
            </w:r>
            <w:r>
              <w:t xml:space="preserve">ergänzen oder ersetzen. Wenn nicht gesetzt, wird die Aktivität aus den zeitlichen Gültigkeitsfeldern abgeleitet.</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bl>
    <w:bookmarkEnd w:id="171"/>
    <w:bookmarkStart w:id="172" w:name="verwendungen-9"/>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beispiele-3"/>
    <w:p>
      <w:pPr>
        <w:pStyle w:val="berschrift3"/>
      </w:pPr>
      <w:r>
        <w:t xml:space="preserve">Beispiele</w:t>
      </w:r>
    </w:p>
    <w:bookmarkStart w:id="173" w:name="Xf34f2ab4c7cc3bd3085096691b2580f6f514cf0"/>
    <w:p>
      <w:pPr>
        <w:pStyle w:val="berschrift4"/>
      </w:pPr>
      <w:r>
        <w:t xml:space="preserve">Beispiel Membership: Dieselbe Person auf anderer Ebene, mit anderem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41b175906be1d6ef0dc52c9540936eb9d8af101"/>
    <w:p>
      <w:pPr>
        <w:pStyle w:val="berschrift4"/>
      </w:pPr>
      <w:r>
        <w:t xml:space="preserve">Beispiel Membership: Exekutivmandat mit Rolle im Präsidium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82e9c7743e23367b6ee81c4007307f4f22acee0"/>
    <w:p>
      <w:pPr>
        <w:pStyle w:val="berschrift4"/>
      </w:pPr>
      <w:r>
        <w:t xml:space="preserve">Beispiel Membership: Person und Gruppe derselben Lieferung, mit Wahlkreis</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e8d9c53bf20ef14d32f687f3945b054d7bd45fb"/>
    <w:p>
      <w:pPr>
        <w:pStyle w:val="berschrift4"/>
      </w:pPr>
      <w:r>
        <w:t xml:space="preserve">Beispiel Membership: Laufendes Mandat ohne Enddatum</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c8aaeb7b13f6c5ce8d787d8f275ab4b06c16366"/>
    <w:p>
      <w:pPr>
        <w:pStyle w:val="berschrift4"/>
      </w:pPr>
      <w:r>
        <w:t xml:space="preserve">Beispiel Membership: Fraktionsmitgliedschaft parallel zum Ratsmandat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5d2a426e85045b91fd79e82ae185ead98b45b92"/>
    <w:p>
      <w:pPr>
        <w:pStyle w:val="berschrift4"/>
      </w:pPr>
      <w:r>
        <w:t xml:space="preserve">Beispiel Membership: Kommissionsmitgliedschaft mit eigener Dauer</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bf00814e2a21ebc9d88ed7f75358a862f109551"/>
    <w:p>
      <w:pPr>
        <w:pStyle w:val="berschrift4"/>
      </w:pPr>
      <w:r>
        <w:t xml:space="preserve">Beispiel Membership: Parteimitgliedschaft ohne Zeitangaben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869246e71f32c4f80237b4aed976baee8ecb99c"/>
    <w:p>
      <w:pPr>
        <w:pStyle w:val="berschrift4"/>
      </w:pPr>
      <w:r>
        <w:t xml:space="preserve">Beispiel Membership: Rolle ausserhalb des Vokabulars, benannt im role_label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klasse-roletype"/>
    <w:p>
      <w:pPr>
        <w:pStyle w:val="berschrift2"/>
      </w:pPr>
      <w:r>
        <w:t xml:space="preserve">Klasse: RoleType</w:t>
      </w:r>
    </w:p>
    <w:p>
      <w:pPr>
        <w:pStyle w:val="FirstParagraph"/>
      </w:pPr>
      <w:r>
        <w:rPr>
          <w:i/>
          <w:iCs/>
        </w:rPr>
        <w:t xml:space="preserve">Rolle einer Person in einer Mitgliedschaft oder Funktion (z.B. Mitglied, Präsident/in, Stellvertreter/in). Wenn eine Rolle im vorgeschlagenen RoleEnum-Vokabular nicht enthalten ist, kann der Wert</w:t>
      </w:r>
      <w:r>
        <w:rPr>
          <w:i/>
          <w:iCs/>
        </w:rPr>
        <w:t xml:space="preserve"> </w:t>
      </w:r>
      <w:r>
        <w:rPr>
          <w:i/>
          <w:iCs/>
        </w:rPr>
        <w:t xml:space="preserve">‘other’</w:t>
      </w:r>
      <w:r>
        <w:rPr>
          <w:i/>
          <w:iCs/>
        </w:rPr>
        <w:t xml:space="preserve"> </w:t>
      </w:r>
      <w:r>
        <w:rPr>
          <w:i/>
          <w:iCs/>
        </w:rPr>
        <w:t xml:space="preserve">verwendet werden; in diesem Fall soll im Slot</w:t>
      </w:r>
      <w:r>
        <w:rPr>
          <w:i/>
          <w:iCs/>
        </w:rPr>
        <w:t xml:space="preserve"> </w:t>
      </w:r>
      <w:r>
        <w:rPr>
          <w:rStyle w:val="VerbatimChar"/>
          <w:i/>
          <w:iCs/>
        </w:rPr>
        <w:t xml:space="preserve">role_label</w:t>
      </w:r>
      <w:r>
        <w:rPr>
          <w:i/>
          <w:iCs/>
        </w:rPr>
        <w:t xml:space="preserve"> </w:t>
      </w:r>
      <w:r>
        <w:rPr>
          <w:i/>
          <w:iCs/>
        </w:rPr>
        <w:t xml:space="preserve">eine beschreibende Bezeichnung angegeben werden. Die Bezeichnung kann auch verwendet werden, wenn eine spezifische Rollenbezeichnung nötig ist, selbst wenn in</w:t>
      </w:r>
      <w:r>
        <w:rPr>
          <w:i/>
          <w:iCs/>
        </w:rPr>
        <w:t xml:space="preserve"> </w:t>
      </w:r>
      <w:r>
        <w:rPr>
          <w:rStyle w:val="VerbatimChar"/>
          <w:i/>
          <w:iCs/>
        </w:rPr>
        <w:t xml:space="preserve">role_type_enum</w:t>
      </w:r>
      <w:r>
        <w:rPr>
          <w:i/>
          <w:iCs/>
        </w:rPr>
        <w:t xml:space="preserve"> </w:t>
      </w:r>
      <w:r>
        <w:rPr>
          <w:i/>
          <w:iCs/>
        </w:rPr>
        <w:t xml:space="preserve">bereits ein passender semantischer Wert vorhanden ist; bei</w:t>
      </w:r>
      <w:r>
        <w:rPr>
          <w:i/>
          <w:iCs/>
        </w:rPr>
        <w:t xml:space="preserve"> </w:t>
      </w:r>
      <w:r>
        <w:rPr>
          <w:rStyle w:val="VerbatimChar"/>
          <w:i/>
          <w:iCs/>
        </w:rPr>
        <w:t xml:space="preserve">role_type_enum = other</w:t>
      </w:r>
      <w:r>
        <w:rPr>
          <w:i/>
          <w:iCs/>
        </w:rPr>
        <w:t xml:space="preserve"> </w:t>
      </w:r>
      <w:r>
        <w:rPr>
          <w:i/>
          <w:iCs/>
        </w:rPr>
        <w:t xml:space="preserve">soll sie angegeben werden.</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Rolle der Person in der Mitgliedschaft oder Funktion.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Spezifische Rollenbezeichnung. Dieses Feld kann verwendet werden, wenn eine konkrete Rollenbezeichnung benötigt wird, auch wenn in</w:t>
            </w:r>
            <w:r>
              <w:t xml:space="preserve"> </w:t>
            </w:r>
            <w:r>
              <w:rPr>
                <w:rStyle w:val="VerbatimChar"/>
              </w:rPr>
              <w:t xml:space="preserve">role_type_enum</w:t>
            </w:r>
            <w:r>
              <w:t xml:space="preserve"> </w:t>
            </w:r>
            <w:r>
              <w:t xml:space="preserve">bereits ein passender semantischer Wert vorhanden ist; bei</w:t>
            </w:r>
            <w:r>
              <w:t xml:space="preserve"> </w:t>
            </w:r>
            <w:r>
              <w:rPr>
                <w:rStyle w:val="VerbatimChar"/>
              </w:rPr>
              <w:t xml:space="preserve">role_type_enum = other</w:t>
            </w:r>
            <w:r>
              <w:t xml:space="preserve"> </w:t>
            </w:r>
            <w:r>
              <w:t xml:space="preserve">soll diese Bezeichnung angegeben werden. Die Bezeichnung wird mit der Sprache erfasst, in der sie publiziert wird; wird sie in mehreren Sprachen publiziert, wird pro Sprache ein Eintrag erfasst.</w:t>
            </w:r>
          </w:p>
        </w:tc>
      </w:tr>
    </w:tbl>
    <w:bookmarkStart w:id="183" w:name="einschränkungen-2"/>
    <w:p>
      <w:pPr>
        <w:pStyle w:val="berschrift5"/>
      </w:pPr>
      <w:r>
        <w:t xml:space="preserve">Einschränkungen</w:t>
      </w:r>
    </w:p>
    <w:p>
      <w:pPr>
        <w:pStyle w:val="FirstParagraph"/>
      </w:pPr>
      <w:r>
        <w:t xml:space="preserve">Mindestens eines der folgenden Felder muss gesetzt sein:</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verwendungen-10"/>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egeln"/>
    <w:p>
      <w:pPr>
        <w:pStyle w:val="berschrift5"/>
      </w:pPr>
      <w:r>
        <w:t xml:space="preserve">Regeln</w:t>
      </w:r>
    </w:p>
    <w:p>
      <w:pPr>
        <w:pStyle w:val="Compact"/>
        <w:numPr>
          <w:ilvl w:val="0"/>
          <w:numId w:val="1011"/>
        </w:numPr>
      </w:pPr>
      <w:r>
        <w:t xml:space="preserve">Wenn der Rollentyp</w:t>
      </w:r>
      <w:r>
        <w:t xml:space="preserve"> </w:t>
      </w:r>
      <w:r>
        <w:t xml:space="preserve">‘other’</w:t>
      </w:r>
      <w:r>
        <w:t xml:space="preserve"> </w:t>
      </w:r>
      <w:r>
        <w:t xml:space="preserve">ist, muss eine beschreibende Bezeichnung angegeben werden.</w:t>
      </w:r>
    </w:p>
    <w:bookmarkEnd w:id="185"/>
    <w:bookmarkEnd w:id="186"/>
    <w:bookmarkEnd w:id="187"/>
    <w:bookmarkStart w:id="190" w:name="enum-roleenum"/>
    <w:p>
      <w:pPr>
        <w:pStyle w:val="berschrift2"/>
      </w:pPr>
      <w:r>
        <w:t xml:space="preserve">Enum: RoleEnum</w:t>
      </w:r>
    </w:p>
    <w:p>
      <w:pPr>
        <w:pStyle w:val="FirstParagraph"/>
      </w:pPr>
      <w:r>
        <w:rPr>
          <w:i/>
          <w:iCs/>
        </w:rPr>
        <w:t xml:space="preserve">Rollen, die eine Person im Rahmen einer Mitgliedschaft haben kann.</w:t>
      </w:r>
    </w:p>
    <w:p>
      <w:pPr>
        <w:pStyle w:val="Textkrper"/>
      </w:pPr>
      <w:r>
        <w:t xml:space="preserve">URI:</w:t>
      </w:r>
      <w:r>
        <w:t xml:space="preserve"> </w:t>
      </w:r>
      <w:hyperlink ns1:id="rId188">
        <w:r>
          <w:rPr>
            <w:rStyle w:val="Hyperlink"/>
          </w:rPr>
          <w:t xml:space="preserve">act:RoleEnum</w:t>
        </w:r>
      </w:hyperlink>
    </w:p>
    <w:bookmarkStart w:id="189" w:name="zulässige-werte-4"/>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member</w:t>
            </w:r>
          </w:p>
        </w:tc>
        <w:tc>
          <w:tcPr>
            <w:shd w:val="clear" w:color="auto" w:fill="F2F2F2"/>
          </w:tcPr>
          <w:p>
            <w:pPr>
              <w:pStyle w:val="Compact"/>
            </w:pPr>
            <w:r>
              <w:t xml:space="preserve">Gewöhnliches Mitglied (Standard).</w:t>
            </w:r>
          </w:p>
        </w:tc>
      </w:tr>
      <w:tr>
        <w:tc>
          <w:tcPr/>
          <w:p>
            <w:pPr>
              <w:pStyle w:val="Compact"/>
            </w:pPr>
            <w:r>
              <w:t xml:space="preserve">president</w:t>
            </w:r>
          </w:p>
        </w:tc>
        <w:tc>
          <w:tcPr/>
          <w:p>
            <w:pPr>
              <w:pStyle w:val="Compact"/>
            </w:pPr>
            <w:r>
              <w:t xml:space="preserve">Präsident oder Vorsitzender der Gruppe.</w:t>
            </w:r>
          </w:p>
        </w:tc>
      </w:tr>
      <w:tr>
        <w:tc>
          <w:tcPr>
            <w:shd w:val="clear" w:color="auto" w:fill="F2F2F2"/>
          </w:tcPr>
          <w:p>
            <w:pPr>
              <w:pStyle w:val="Compact"/>
            </w:pPr>
            <w:r>
              <w:t xml:space="preserve">deputy</w:t>
            </w:r>
          </w:p>
        </w:tc>
        <w:tc>
          <w:tcPr>
            <w:shd w:val="clear" w:color="auto" w:fill="F2F2F2"/>
          </w:tcPr>
          <w:p>
            <w:pPr>
              <w:pStyle w:val="Compact"/>
            </w:pPr>
            <w:r>
              <w:t xml:space="preserve">Stellvertretung oder Vize.</w:t>
            </w:r>
          </w:p>
        </w:tc>
      </w:tr>
      <w:tr>
        <w:tc>
          <w:tcPr/>
          <w:p>
            <w:pPr>
              <w:pStyle w:val="Compact"/>
            </w:pPr>
            <w:r>
              <w:t xml:space="preserve">other</w:t>
            </w:r>
          </w:p>
        </w:tc>
        <w:tc>
          <w:tcPr/>
          <w:p>
            <w:pPr>
              <w:pStyle w:val="Compact"/>
            </w:pPr>
            <w:r>
              <w:t xml:space="preserve">Andere Rolle; für eine beschreibende Bezeichnung role_label verwenden.</w:t>
            </w:r>
          </w:p>
        </w:tc>
      </w:tr>
    </w:tbl>
    <w:bookmarkEnd w:id="189"/>
    <w:bookmarkEnd w:id="190"/>
    <w:bookmarkStart w:id="196" w:name="klasse-electoraldistrict"/>
    <w:p>
      <w:pPr>
        <w:pStyle w:val="berschrift2"/>
      </w:pPr>
      <w:r>
        <w:t xml:space="preserve">Klasse: ElectoralDistrict</w:t>
      </w:r>
    </w:p>
    <w:p>
      <w:pPr>
        <w:pStyle w:val="FirstParagraph"/>
      </w:pPr>
      <w:r>
        <w:rPr>
          <w:i/>
          <w:iCs/>
        </w:rPr>
        <w:t xml:space="preserve">Wahlkreis oder Wahlregion, die einer Mitgliedschaft zugeordnet ist. Die zeitliche Gültigkeit wird von der umschliessenden Mitgliedschaft übernommen.</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Für IRI-Referenzen sollen die LINDAS-Ressourcen verwendet werden. Die IRI für die verschiedenen Verwaltungsebenen der Schweizer Raumeinheiten sind bei LINDAS zu finden: https://ld.admin.ch/country/CHE. Unter den Links im Abschnitt schema:containsPlace kann die gewünschte Ebene gefunden werden. Beispiele für die einzelnen Verwaltungsebenen: - Land - Schweiz: https://ld.admin.ch/country/CHE - Kanton - Aargau: https://ld.admin.ch/canton/19 - Bezirk - Brig: https://ld.admin.ch/district/2301 - Gemeinde - Versoix: https://ld.admin.ch/municipality/6644 Wahlkreise, die keiner amtlichen Raumeinheit entsprechen, etwa Wahlkreise, die Wohnviertel einer Gemeinde zusammenfassen, erhalten stattdessen einen Identifikator im Namensraum der publizierenden Stelle.</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Bezeichnung des Wahlkreises, wie sie von der für die Wahl zuständigen Stelle publiziert wird.</w:t>
            </w:r>
          </w:p>
        </w:tc>
      </w:tr>
    </w:tbl>
    <w:bookmarkEnd w:id="191"/>
    <w:bookmarkStart w:id="192" w:name="verwendungen-11"/>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beispiele-4"/>
    <w:p>
      <w:pPr>
        <w:pStyle w:val="berschrift3"/>
      </w:pPr>
      <w:r>
        <w:t xml:space="preserve">Beispiele</w:t>
      </w:r>
    </w:p>
    <w:bookmarkStart w:id="193" w:name="X55a57b5aa4c77736c2e747442c9781e70f15452"/>
    <w:p>
      <w:pPr>
        <w:pStyle w:val="berschrift4"/>
      </w:pPr>
      <w:r>
        <w:t xml:space="preserve">Beispiel ElectoralDistrict: Wahlkreis ohne amtliche Raumeinheit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rPr>
          <w:rStyle w:val="AttributeTok"/>
        </w:rPr>
        <w:t xml:space="preserve"> Kleinbasel</w:t>
      </w:r>
    </w:p>
    <w:bookmarkEnd w:id="193"/>
    <w:bookmarkStart w:id="194" w:name="X6b420460f55631718ece5dabc1eedf5f9e3b168"/>
    <w:p>
      <w:pPr>
        <w:pStyle w:val="berschrift4"/>
      </w:pPr>
      <w:r>
        <w:t xml:space="preserve">Beispiel ElectoralDistrict: Kanton als Wahlkreis, über die LINDAS-Ressource identifiziert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rPr>
          <w:rStyle w:val="AttributeTok"/>
        </w:rPr>
        <w:t xml:space="preserve"> Basel-Stadt</w:t>
      </w:r>
    </w:p>
    <w:bookmarkEnd w:id="194"/>
    <w:bookmarkEnd w:id="195"/>
    <w:p>
      <w:r>
        <w:br w:type="page"/>
      </w:r>
    </w:p>
    <w:bookmarkEnd w:id="196"/>
    <w:bookmarkEnd w:id="197"/>
    <w:bookmarkStart w:id="262" w:name="interessenbindungen-interest-links"/>
    <w:p>
      <w:pPr>
        <w:pStyle w:val="berschrift1"/>
      </w:pPr>
      <w:r>
        <w:t xml:space="preserve">Interessenbindungen (Interest Links)</w:t>
      </w:r>
    </w:p>
    <w:p>
      <w:pPr>
        <w:pStyle w:val="FirstParagraph"/>
      </w:pPr>
      <w:r>
        <w:t xml:space="preserve">Das InterestLink-Schema erfasst Interessenbindungen, Interessenkonflikte und Verflechtungen von Personen mit Organisationen. Es orientiert sich an den Transparenzanforderungen für Parlamentsmitglieder gemäss</w:t>
      </w:r>
      <w:r>
        <w:t xml:space="preserve"> </w:t>
      </w:r>
      <w:hyperlink ns1:id="rId198">
        <w:r>
          <w:rPr>
            <w:rStyle w:val="Hyperlink"/>
          </w:rPr>
          <w:t xml:space="preserve">Bundesversammlung – Interessenbindungen</w:t>
        </w:r>
      </w:hyperlink>
      <w:r>
        <w:t xml:space="preserve">.</w:t>
      </w:r>
    </w:p>
    <w:p>
      <w:pPr>
        <w:pStyle w:val="Compact"/>
        <w:numPr>
          <w:ilvl w:val="0"/>
          <w:numId w:val="1012"/>
        </w:numPr>
      </w:pPr>
      <w:r>
        <w:rPr>
          <w:b/>
          <w:bCs/>
        </w:rPr>
        <w:t xml:space="preserve">Abgrenzung zu Mitgliedschaften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bildet Bindungen zu Organisationen</w:t>
      </w:r>
      <w:r>
        <w:t xml:space="preserve"> </w:t>
      </w:r>
      <w:r>
        <w:rPr>
          <w:i/>
          <w:iCs/>
        </w:rPr>
        <w:t xml:space="preserve">ausserhalb</w:t>
      </w:r>
      <w:r>
        <w:t xml:space="preserve"> </w:t>
      </w:r>
      <w:r>
        <w:t xml:space="preserve">des Akteur-Schemas ab (Interessenkonflikte, Politikfinanzierung) – im Unterschied zur formalen Zugehörigkeit</w:t>
      </w:r>
      <w:r>
        <w:t xml:space="preserve"> </w:t>
      </w:r>
      <w:r>
        <w:rPr>
          <w:i/>
          <w:iCs/>
        </w:rPr>
        <w:t xml:space="preserve">innerhalb</w:t>
      </w:r>
      <w:r>
        <w:t xml:space="preserve"> </w:t>
      </w:r>
      <w:r>
        <w:t xml:space="preserve">des Schemas, die über</w:t>
      </w:r>
      <w:r>
        <w:t xml:space="preserve"> </w:t>
      </w:r>
      <w:r>
        <w:rPr>
          <w:rStyle w:val="VerbatimChar"/>
        </w:rPr>
        <w:t xml:space="preserve">Membership</w:t>
      </w:r>
      <w:r>
        <w:t xml:space="preserve"> </w:t>
      </w:r>
      <w:r>
        <w:t xml:space="preserve">erfasst wird.</w:t>
      </w:r>
    </w:p>
    <w:p>
      <w:pPr>
        <w:pStyle w:val="Compact"/>
        <w:numPr>
          <w:ilvl w:val="0"/>
          <w:numId w:val="1012"/>
        </w:numPr>
      </w:pPr>
      <w:r>
        <w:rPr>
          <w:b/>
          <w:bCs/>
        </w:rPr>
        <w:t xml:space="preserve">Obligatorische Klassifikation (</w:t>
      </w:r>
      <w:r>
        <w:rPr>
          <w:rStyle w:val="VerbatimChar"/>
          <w:b/>
          <w:bCs/>
        </w:rPr>
        <w:t xml:space="preserve">interest_type</w:t>
      </w:r>
      <w:r>
        <w:rPr>
          <w:b/>
          <w:bCs/>
        </w:rPr>
        <w:t xml:space="preserve">):</w:t>
      </w:r>
      <w:r>
        <w:t xml:space="preserve"> </w:t>
      </w:r>
      <w:r>
        <w:t xml:space="preserve">Jede Bindung wird zwingend nach Art eingeordnet (berufliche Tätigkeit, politische Ämter, Verein), angelehnt an die Offenlegungskategorien der Bundesversammlung.</w:t>
      </w:r>
    </w:p>
    <w:p>
      <w:pPr>
        <w:pStyle w:val="Compact"/>
        <w:numPr>
          <w:ilvl w:val="0"/>
          <w:numId w:val="1012"/>
        </w:numPr>
      </w:pPr>
      <w:r>
        <w:rPr>
          <w:b/>
          <w:bCs/>
        </w:rPr>
        <w:t xml:space="preserve">Organisation über UID referenzierbar (</w:t>
      </w:r>
      <w:r>
        <w:rPr>
          <w:rStyle w:val="VerbatimChar"/>
          <w:b/>
          <w:bCs/>
        </w:rPr>
        <w:t xml:space="preserve">organization_uid</w:t>
      </w:r>
      <w:r>
        <w:rPr>
          <w:b/>
          <w:bCs/>
        </w:rPr>
        <w:t xml:space="preserve">):</w:t>
      </w:r>
      <w:r>
        <w:t xml:space="preserve"> </w:t>
      </w:r>
      <w:r>
        <w:t xml:space="preserve">Ist die Organisation im UID-Register erfasst, wird sie über ihre UID referenziert – das ermöglicht Auswertungen, z. B. mit NOGA-Codes. Erfasst wird das Austauschformat von eCH-0108, also</w:t>
      </w:r>
      <w:r>
        <w:t xml:space="preserve"> </w:t>
      </w:r>
      <w:r>
        <w:rPr>
          <w:rStyle w:val="VerbatimChar"/>
        </w:rPr>
        <w:t xml:space="preserve">CHE</w:t>
      </w:r>
      <w:r>
        <w:t xml:space="preserve"> </w:t>
      </w:r>
      <w:r>
        <w:t xml:space="preserve">gefolgt von neun Ziffern ohne Trennzeichen (</w:t>
      </w:r>
      <w:r>
        <w:rPr>
          <w:rStyle w:val="VerbatimChar"/>
        </w:rPr>
        <w:t xml:space="preserve">CHE106063525</w:t>
      </w:r>
      <w:r>
        <w:t xml:space="preserve">). Für Organisationen ohne UID stehen</w:t>
      </w:r>
      <w:r>
        <w:t xml:space="preserve"> </w:t>
      </w:r>
      <w:r>
        <w:rPr>
          <w:rStyle w:val="VerbatimChar"/>
        </w:rPr>
        <w:t xml:space="preserve">organization_name</w:t>
      </w:r>
      <w:r>
        <w:t xml:space="preserve">/</w:t>
      </w:r>
      <w:r>
        <w:rPr>
          <w:rStyle w:val="VerbatimChar"/>
        </w:rPr>
        <w:t xml:space="preserve">organization_address</w:t>
      </w:r>
      <w:r>
        <w:t xml:space="preserve"> </w:t>
      </w:r>
      <w:r>
        <w:t xml:space="preserve">bereit; die Rechtsform folgt einem kontrollierten Vokabular (</w:t>
      </w:r>
      <w:r>
        <w:rPr>
          <w:rStyle w:val="VerbatimChar"/>
        </w:rPr>
        <w:t xml:space="preserve">LegalFormEnum</w:t>
      </w:r>
      <w:r>
        <w:t xml:space="preserve">).</w:t>
      </w:r>
    </w:p>
    <w:p>
      <w:pPr>
        <w:pStyle w:val="Compact"/>
        <w:numPr>
          <w:ilvl w:val="0"/>
          <w:numId w:val="1012"/>
        </w:numPr>
      </w:pPr>
      <w:r>
        <w:rPr>
          <w:b/>
          <w:bCs/>
        </w:rPr>
        <w:t xml:space="preserve">Umfang und Entschädigung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Neben Gremium und Funktion innerhalb der Organisation wird explizit festgehalten, ob die Position bezahlt ist – ein zentraler Transparenzaspekt.</w:t>
      </w:r>
    </w:p>
    <w:bookmarkStart w:id="214" w:name="klasse-interestlink"/>
    <w:p>
      <w:pPr>
        <w:pStyle w:val="berschrift2"/>
      </w:pPr>
      <w:r>
        <w:t xml:space="preserve">Klasse: InterestLink</w:t>
      </w:r>
    </w:p>
    <w:p>
      <w:pPr>
        <w:pStyle w:val="FirstParagraph"/>
      </w:pPr>
      <w:r>
        <w:rPr>
          <w:i/>
          <w:iCs/>
        </w:rPr>
        <w:t xml:space="preserve">Eine Interessenbindung (Interessenkonflikt, Politikfinanzierung) einer Person zu einer Organisation ausserhalb des Akteur-Schemas.</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Kurzreferenz auf eine Person, welche deren Merkmale zum Zeitpunkt der Verknüpfung festhält.</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Art der Interessenbindung (Berufliche Tätigkeit, Politische Ämter, Verein).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der Organisation oder des Unternehmens.</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der Organisation aus dem eidgenössischen UID-Register (uid.admin.ch), im Austauschformat von eCH-0108: CHE gefolgt von neun Ziffern, ohne Trennzeichen (z.B. CHE106063525). Die letzte Ziffer ist eine Prüfziffer nach Modulo 11. Die punktierte Form CHE-106.063.525 ist die Darstellung von uid.admin.ch und wird hier nicht erfasst.</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Adresse der Organisation.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Rechtsform der Organisation. Siehe kontrolliertes Vokabular: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Gibt an, ob die Tätigkeit bezahlt ist.</w:t>
            </w:r>
          </w:p>
        </w:tc>
      </w:tr>
      <w:tr>
        <w:tc>
          <w:tcPr>
            <w:shd w:val="clear" w:color="auto" w:fill="F2F2F2"/>
          </w:tcPr>
          <w:p>
            <w:pPr>
              <w:pStyle w:val="Compact"/>
            </w:pPr>
            <w:r>
              <w:t xml:space="preserve">committee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Gremium innerhalb der Organisation (z.B. Verwaltungsrat, Stiftungsrat, Vorstand, Aufsichtsrat, Beirat, Geschäftsleitung).</w:t>
            </w:r>
          </w:p>
        </w:tc>
      </w:tr>
      <w:tr>
        <w:tc>
          <w:tcPr/>
          <w:p>
            <w:pPr>
              <w:pStyle w:val="Compact"/>
            </w:pPr>
            <w:r>
              <w:t xml:space="preserve">function_role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Funktion oder Rolle in der Organisation (z.B. Präsident/in, Vizepräsident/in, Mitglied, Delegierter, Geschäftsführer/in, Berater/in).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Das Datum, ab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Das Datum, bis und mit dem die Information gültig ist.</w:t>
            </w:r>
            <w:r>
              <w:t xml:space="preserve"> </w:t>
            </w:r>
            <w:r>
              <w:t xml:space="preserve">Vererbung:</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Gibt an, ob die Information aktuell gültig ist. Kann nützlich sein, wenn diese Information explizit vorhanden ist.</w:t>
            </w:r>
            <w:r>
              <w:t xml:space="preserve"> </w:t>
            </w:r>
            <w:r>
              <w:t xml:space="preserve">Vererbung:</w:t>
            </w:r>
            <w:r>
              <w:t xml:space="preserve"> </w:t>
            </w:r>
            <w:hyperlink w:anchor="HasTemporalValidity">
              <w:r>
                <w:rPr>
                  <w:rStyle w:val="Hyperlink"/>
                </w:rPr>
                <w:t xml:space="preserve">HasTemporalValidity</w:t>
              </w:r>
            </w:hyperlink>
          </w:p>
        </w:tc>
      </w:tr>
    </w:tbl>
    <w:bookmarkStart w:id="199" w:name="einschränkungen-3"/>
    <w:p>
      <w:pPr>
        <w:pStyle w:val="berschrift5"/>
      </w:pPr>
      <w:r>
        <w:t xml:space="preserve">Einschränkungen</w:t>
      </w:r>
    </w:p>
    <w:p>
      <w:pPr>
        <w:pStyle w:val="FirstParagraph"/>
      </w:pPr>
      <w:r>
        <w:t xml:space="preserve">Mindestens eines der folgenden Felder muss gesetzt sein:</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verwendungen-12"/>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3" w:name="beispiele-5"/>
    <w:p>
      <w:pPr>
        <w:pStyle w:val="berschrift3"/>
      </w:pPr>
      <w:r>
        <w:t xml:space="preserve">Beispiele</w:t>
      </w:r>
    </w:p>
    <w:bookmarkStart w:id="202" w:name="X79703b607269ac25252a69b594e9583250b5fcb"/>
    <w:p>
      <w:pPr>
        <w:pStyle w:val="berschrift4"/>
      </w:pPr>
      <w:r>
        <w:t xml:space="preserve">Beispiel InterestLink: Eigene Gesellschaft, operativ geführt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X8e306b2dd453c27ce4c1d11887e0c5b26d5313f"/>
    <w:p>
      <w:pPr>
        <w:pStyle w:val="berschrift4"/>
      </w:pPr>
      <w:r>
        <w:t xml:space="preserve">Beispiel InterestLink: Unbezahltes Präsidium einer politischen Allianz</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act:il_burkart_010</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Allianz Sicherheit Schweiz,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3"/>
    <w:bookmarkStart w:id="204" w:name="X87b8b18b8ed903ef5a68d94f801b3398603c0dc"/>
    <w:p>
      <w:pPr>
        <w:pStyle w:val="berschrift4"/>
      </w:pPr>
      <w:r>
        <w:t xml:space="preserve">Beispiel InterestLink: Verwaltungsratsmandat in einer Holding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act:il_burkart_002</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Birchmeier Holding AG, Döttingen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4"/>
    <w:bookmarkStart w:id="205" w:name="Xefe6fea4f5b360e771509387d03d0b6dca804bc"/>
    <w:p>
      <w:pPr>
        <w:pStyle w:val="berschrift4"/>
      </w:pPr>
      <w:r>
        <w:t xml:space="preserve">Beispiel InterestLink: Verwaltungsratsmandat in einer Immobiliengesellschaft</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act:il_burkart_003</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Bovida Real Estate AG, Baar</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5"/>
    <w:bookmarkStart w:id="206" w:name="X19a409cca8a7bbf0cf1ad90b32591f736b96ab9"/>
    <w:p>
      <w:pPr>
        <w:pStyle w:val="berschrift4"/>
      </w:pPr>
      <w:r>
        <w:t xml:space="preserve">Beispiel InterestLink: Mitgliedschaft in einem Branchenverband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act:il_burkart_009</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6"/>
    <w:bookmarkStart w:id="207" w:name="X195e95a92413b66b9114ebd800af9aede5e60ee"/>
    <w:p>
      <w:pPr>
        <w:pStyle w:val="berschrift4"/>
      </w:pPr>
      <w:r>
        <w:t xml:space="preserve">Beispiel InterestLink: Stiftungsratsmandat mit UID der Organisation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7"/>
    <w:bookmarkStart w:id="208" w:name="Xc8eff3ef948b82aa64c6c3ad19f27d284ac9197"/>
    <w:p>
      <w:pPr>
        <w:pStyle w:val="berschrift4"/>
      </w:pPr>
      <w:r>
        <w:t xml:space="preserve">Beispiel InterestLink: Beiratsmandat ohne Organstellung</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act:il_burkart_008</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Stiebel Eltron AG, Lupfig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Beirat</w:t>
      </w:r>
      <w:r>
        <w:br/>
      </w:r>
      <w:r>
        <w:rPr>
          <w:rStyle w:val="AttributeTok"/>
        </w:rPr>
        <w:t xml:space="preserve">  </w:t>
      </w:r>
      <w:r>
        <w:rPr>
          <w:rStyle w:val="FunctionTok"/>
        </w:rPr>
        <w:t xml:space="preserve">function_role</w:t>
      </w:r>
      <w:r>
        <w:rPr>
          <w:rStyle w:val="KeywordTok"/>
        </w:rPr>
        <w:t xml:space="preserve">:</w:t>
      </w:r>
      <w:r>
        <w:rPr>
          <w:rStyle w:val="AttributeTok"/>
        </w:rPr>
        <w:t xml:space="preserve"> Beirat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8"/>
    <w:bookmarkStart w:id="209" w:name="X5c3f3f52b38789acb9bb2bd31022fa509acee21"/>
    <w:p>
      <w:pPr>
        <w:pStyle w:val="berschrift4"/>
      </w:pPr>
      <w:r>
        <w:t xml:space="preserve">Beispiel InterestLink: Ehrenamtliche Mitwirkung im Trägerverein eines Grossprojekts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act:il_burkart_011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Verein Landesausstellung Svizra27, Aarau</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9"/>
    <w:bookmarkStart w:id="210" w:name="X80eaa34bfd6ab9909c5fc9c652972e5757e76ac"/>
    <w:p>
      <w:pPr>
        <w:pStyle w:val="berschrift4"/>
      </w:pPr>
      <w:r>
        <w:t xml:space="preserve">Beispiel InterestLink: Präsidium eines Wirtschaftsverbands</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Start w:id="211" w:name="Xa18c987e701e7ee18ea682df540647c090480b6"/>
    <w:p>
      <w:pPr>
        <w:pStyle w:val="berschrift4"/>
      </w:pPr>
      <w:r>
        <w:t xml:space="preserve">Beispiel InterestLink: Präsidium einer Bundespartei</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act:il_burkart_006</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organization_name</w:t>
      </w:r>
      <w:r>
        <w:rPr>
          <w:rStyle w:val="KeywordTok"/>
        </w:rPr>
        <w:t xml:space="preserve">:</w:t>
      </w:r>
      <w:r>
        <w:rPr>
          <w:rStyle w:val="AttributeTok"/>
        </w:rPr>
        <w:t xml:space="preserve"> FDP.Die Liberalen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1"/>
    <w:bookmarkStart w:id="212" w:name="Xcd57c9e390b90ca0b45f91c6341ff77f1e903cf"/>
    <w:p>
      <w:pPr>
        <w:pStyle w:val="berschrift4"/>
      </w:pPr>
      <w:r>
        <w:t xml:space="preserve">Beispiel InterestLink: Verwaltungsratsmandat in einem Technologieunternehmen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act:il_burkart_004</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ELCA Group SA, Lausanne</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2"/>
    <w:bookmarkEnd w:id="213"/>
    <w:bookmarkEnd w:id="214"/>
    <w:bookmarkStart w:id="220" w:name="enum-interesttypeenum"/>
    <w:p>
      <w:pPr>
        <w:pStyle w:val="berschrift2"/>
      </w:pPr>
      <w:r>
        <w:t xml:space="preserve">Enum: InterestTypeEnum</w:t>
      </w:r>
    </w:p>
    <w:p>
      <w:pPr>
        <w:pStyle w:val="FirstParagraph"/>
      </w:pPr>
      <w:r>
        <w:rPr>
          <w:i/>
          <w:iCs/>
        </w:rPr>
        <w:t xml:space="preserve">Typen von Interessenbindungen (Interessenkonflikte, Politikfinanzierung).</w:t>
      </w:r>
    </w:p>
    <w:p>
      <w:pPr>
        <w:pStyle w:val="Textkrper"/>
      </w:pPr>
      <w:r>
        <w:t xml:space="preserve">URI:</w:t>
      </w:r>
      <w:r>
        <w:t xml:space="preserve"> </w:t>
      </w:r>
      <w:hyperlink ns1:id="rId215">
        <w:r>
          <w:rPr>
            <w:rStyle w:val="Hyperlink"/>
          </w:rPr>
          <w:t xml:space="preserve">act:InterestTypeEnum</w:t>
        </w:r>
      </w:hyperlink>
    </w:p>
    <w:bookmarkStart w:id="219" w:name="zulässige-werte-5"/>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professional_activity</w:t>
            </w:r>
          </w:p>
        </w:tc>
        <w:tc>
          <w:tcPr>
            <w:shd w:val="clear" w:color="auto" w:fill="F2F2F2"/>
          </w:tcPr>
          <w:p>
            <w:pPr>
              <w:pStyle w:val="Compact"/>
            </w:pPr>
            <w:r>
              <w:t xml:space="preserve">Berufliche Tätigkeit ausserhalb des politischen Mandats (z.B. Anstellung, selbstständige Tätigkeit, Beratungsmandate, Verwaltungsratsmandate in Privatunternehmen).</w:t>
            </w:r>
          </w:p>
        </w:tc>
      </w:tr>
      <w:tr>
        <w:tc>
          <w:tcPr/>
          <w:p>
            <w:pPr>
              <w:pStyle w:val="Compact"/>
            </w:pPr>
          </w:p>
        </w:tc>
        <w:tc>
          <w:tcPr/>
          <w:p>
            <w:pPr>
              <w:pStyle w:val="Compact"/>
            </w:pPr>
            <w:hyperlink ns1:id="rId216">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Politisches Amt oder Mandat auf anderen föderalen Ebenen oder in anderen Körperschaften (z.B. Mitgliedschaft in kantonalen/kommunalen Parlamenten, Regierungsrat, ausserparlamentarische Kommission).</w:t>
            </w:r>
          </w:p>
        </w:tc>
      </w:tr>
      <w:tr>
        <w:tc>
          <w:tcPr/>
          <w:p>
            <w:pPr>
              <w:pStyle w:val="Compact"/>
            </w:pPr>
          </w:p>
        </w:tc>
        <w:tc>
          <w:tcPr/>
          <w:p>
            <w:pPr>
              <w:pStyle w:val="Compact"/>
            </w:pPr>
            <w:hyperlink ns1:id="rId217">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Mitgliedschaft in Vereinen, Verbänden oder Interessenorganisationen (z.B. Branchenverbände, Berufsverbände, Lobbyorganisationen, Stiftungen, gemeinnützige Vereine).</w:t>
            </w:r>
          </w:p>
        </w:tc>
      </w:tr>
      <w:tr>
        <w:tc>
          <w:tcPr/>
          <w:p>
            <w:pPr>
              <w:pStyle w:val="Compact"/>
            </w:pPr>
          </w:p>
        </w:tc>
        <w:tc>
          <w:tcPr/>
          <w:p>
            <w:pPr>
              <w:pStyle w:val="Compact"/>
            </w:pPr>
            <w:hyperlink ns1:id="rId218">
              <w:r>
                <w:rPr>
                  <w:rStyle w:val="Hyperlink"/>
                </w:rPr>
                <w:t xml:space="preserve">act:enum/interest_type/association</w:t>
              </w:r>
            </w:hyperlink>
          </w:p>
        </w:tc>
      </w:tr>
    </w:tbl>
    <w:bookmarkEnd w:id="219"/>
    <w:bookmarkEnd w:id="220"/>
    <w:bookmarkStart w:id="261" w:name="enum-legalformenum"/>
    <w:p>
      <w:pPr>
        <w:pStyle w:val="berschrift2"/>
      </w:pPr>
      <w:r>
        <w:t xml:space="preserve">Enum: LegalFormEnum</w:t>
      </w:r>
    </w:p>
    <w:p>
      <w:pPr>
        <w:pStyle w:val="FirstParagraph"/>
      </w:pPr>
      <w:r>
        <w:rPr>
          <w:i/>
          <w:iCs/>
        </w:rPr>
        <w:t xml:space="preserve">Rechtsformen gemäss der Codeliste des Bundesamts für Statistik auf der I14Y-Plattform, konform zu eCH-0108 (Unternehmensstammdaten und Unternehmensregister). Siehe https://register.ld.admin.ch/i14y/concept/legalForm</w:t>
      </w:r>
    </w:p>
    <w:p>
      <w:pPr>
        <w:pStyle w:val="Textkrper"/>
      </w:pPr>
      <w:r>
        <w:t xml:space="preserve">URI:</w:t>
      </w:r>
      <w:r>
        <w:t xml:space="preserve"> </w:t>
      </w:r>
      <w:hyperlink ns1:id="rId221">
        <w:r>
          <w:rPr>
            <w:rStyle w:val="Hyperlink"/>
          </w:rPr>
          <w:t xml:space="preserve">act:LegalFormEnum</w:t>
        </w:r>
      </w:hyperlink>
    </w:p>
    <w:bookmarkStart w:id="260" w:name="zulässige-werte-6"/>
    <w:p>
      <w:pPr>
        <w:pStyle w:val="berschrift3"/>
      </w:pPr>
      <w:r>
        <w:t xml:space="preserve">Zulässige Werte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0101</w:t>
            </w:r>
          </w:p>
        </w:tc>
        <w:tc>
          <w:tcPr>
            <w:shd w:val="clear" w:color="auto" w:fill="F2F2F2"/>
          </w:tcPr>
          <w:p>
            <w:pPr>
              <w:pStyle w:val="Compact"/>
            </w:pPr>
            <w:r>
              <w:t xml:space="preserve">Einzelunternehmen.</w:t>
            </w:r>
          </w:p>
        </w:tc>
      </w:tr>
      <w:tr>
        <w:tc>
          <w:tcPr/>
          <w:p>
            <w:pPr>
              <w:pStyle w:val="Compact"/>
            </w:pPr>
          </w:p>
        </w:tc>
        <w:tc>
          <w:tcPr/>
          <w:p>
            <w:pPr>
              <w:pStyle w:val="Compact"/>
            </w:pPr>
            <w:hyperlink ns1:id="rId222">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Kollektivgesellschaft (KlG).</w:t>
            </w:r>
          </w:p>
        </w:tc>
      </w:tr>
      <w:tr>
        <w:tc>
          <w:tcPr/>
          <w:p>
            <w:pPr>
              <w:pStyle w:val="Compact"/>
            </w:pPr>
          </w:p>
        </w:tc>
        <w:tc>
          <w:tcPr/>
          <w:p>
            <w:pPr>
              <w:pStyle w:val="Compact"/>
            </w:pPr>
            <w:hyperlink ns1:id="rId223">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Kommanditgesellschaft (KmG).</w:t>
            </w:r>
          </w:p>
        </w:tc>
      </w:tr>
      <w:tr>
        <w:tc>
          <w:tcPr/>
          <w:p>
            <w:pPr>
              <w:pStyle w:val="Compact"/>
            </w:pPr>
          </w:p>
        </w:tc>
        <w:tc>
          <w:tcPr/>
          <w:p>
            <w:pPr>
              <w:pStyle w:val="Compact"/>
            </w:pPr>
            <w:hyperlink ns1:id="rId224">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Kommanditaktiengesellschaft (KmAG).</w:t>
            </w:r>
          </w:p>
        </w:tc>
      </w:tr>
      <w:tr>
        <w:tc>
          <w:tcPr/>
          <w:p>
            <w:pPr>
              <w:pStyle w:val="Compact"/>
            </w:pPr>
          </w:p>
        </w:tc>
        <w:tc>
          <w:tcPr/>
          <w:p>
            <w:pPr>
              <w:pStyle w:val="Compact"/>
            </w:pPr>
            <w:hyperlink ns1:id="rId225">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Aktiengesellschaft (AG).</w:t>
            </w:r>
          </w:p>
        </w:tc>
      </w:tr>
      <w:tr>
        <w:tc>
          <w:tcPr/>
          <w:p>
            <w:pPr>
              <w:pStyle w:val="Compact"/>
            </w:pPr>
          </w:p>
        </w:tc>
        <w:tc>
          <w:tcPr/>
          <w:p>
            <w:pPr>
              <w:pStyle w:val="Compact"/>
            </w:pPr>
            <w:hyperlink ns1:id="rId226">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Gesellschaft mit beschränkter Haftung (GmbH).</w:t>
            </w:r>
          </w:p>
        </w:tc>
      </w:tr>
      <w:tr>
        <w:tc>
          <w:tcPr/>
          <w:p>
            <w:pPr>
              <w:pStyle w:val="Compact"/>
            </w:pPr>
          </w:p>
        </w:tc>
        <w:tc>
          <w:tcPr/>
          <w:p>
            <w:pPr>
              <w:pStyle w:val="Compact"/>
            </w:pPr>
            <w:hyperlink ns1:id="rId227">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Genossenschaft.</w:t>
            </w:r>
          </w:p>
        </w:tc>
      </w:tr>
      <w:tr>
        <w:tc>
          <w:tcPr/>
          <w:p>
            <w:pPr>
              <w:pStyle w:val="Compact"/>
            </w:pPr>
          </w:p>
        </w:tc>
        <w:tc>
          <w:tcPr/>
          <w:p>
            <w:pPr>
              <w:pStyle w:val="Compact"/>
            </w:pPr>
            <w:hyperlink ns1:id="rId228">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Verein.</w:t>
            </w:r>
          </w:p>
        </w:tc>
      </w:tr>
      <w:tr>
        <w:tc>
          <w:tcPr/>
          <w:p>
            <w:pPr>
              <w:pStyle w:val="Compact"/>
            </w:pPr>
          </w:p>
        </w:tc>
        <w:tc>
          <w:tcPr/>
          <w:p>
            <w:pPr>
              <w:pStyle w:val="Compact"/>
            </w:pPr>
            <w:hyperlink ns1:id="rId229">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Stiftung.</w:t>
            </w:r>
          </w:p>
        </w:tc>
      </w:tr>
      <w:tr>
        <w:tc>
          <w:tcPr/>
          <w:p>
            <w:pPr>
              <w:pStyle w:val="Compact"/>
            </w:pPr>
          </w:p>
        </w:tc>
        <w:tc>
          <w:tcPr/>
          <w:p>
            <w:pPr>
              <w:pStyle w:val="Compact"/>
            </w:pPr>
            <w:hyperlink ns1:id="rId230">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Zweigniederlassung eines ausländischen Unternehmens.</w:t>
            </w:r>
          </w:p>
        </w:tc>
      </w:tr>
      <w:tr>
        <w:tc>
          <w:tcPr/>
          <w:p>
            <w:pPr>
              <w:pStyle w:val="Compact"/>
            </w:pPr>
          </w:p>
        </w:tc>
        <w:tc>
          <w:tcPr/>
          <w:p>
            <w:pPr>
              <w:pStyle w:val="Compact"/>
            </w:pPr>
            <w:hyperlink ns1:id="rId231">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Besondere Rechtsform.</w:t>
            </w:r>
          </w:p>
        </w:tc>
      </w:tr>
      <w:tr>
        <w:tc>
          <w:tcPr/>
          <w:p>
            <w:pPr>
              <w:pStyle w:val="Compact"/>
            </w:pPr>
          </w:p>
        </w:tc>
        <w:tc>
          <w:tcPr/>
          <w:p>
            <w:pPr>
              <w:pStyle w:val="Compact"/>
            </w:pPr>
            <w:hyperlink ns1:id="rId232">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Kommanditgesellschaft für kollektive Kapitalanlagen (KmGK).</w:t>
            </w:r>
          </w:p>
        </w:tc>
      </w:tr>
      <w:tr>
        <w:tc>
          <w:tcPr/>
          <w:p>
            <w:pPr>
              <w:pStyle w:val="Compact"/>
            </w:pPr>
          </w:p>
        </w:tc>
        <w:tc>
          <w:tcPr/>
          <w:p>
            <w:pPr>
              <w:pStyle w:val="Compact"/>
            </w:pPr>
            <w:hyperlink ns1:id="rId233">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Investmentgesellschaft mit variablem Kapital (SICAV).</w:t>
            </w:r>
          </w:p>
        </w:tc>
      </w:tr>
      <w:tr>
        <w:tc>
          <w:tcPr/>
          <w:p>
            <w:pPr>
              <w:pStyle w:val="Compact"/>
            </w:pPr>
          </w:p>
        </w:tc>
        <w:tc>
          <w:tcPr/>
          <w:p>
            <w:pPr>
              <w:pStyle w:val="Compact"/>
            </w:pPr>
            <w:hyperlink ns1:id="rId234">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Investmentgesellschaft mit festem Kapital (SICAF).</w:t>
            </w:r>
          </w:p>
        </w:tc>
      </w:tr>
      <w:tr>
        <w:tc>
          <w:tcPr/>
          <w:p>
            <w:pPr>
              <w:pStyle w:val="Compact"/>
            </w:pPr>
          </w:p>
        </w:tc>
        <w:tc>
          <w:tcPr/>
          <w:p>
            <w:pPr>
              <w:pStyle w:val="Compact"/>
            </w:pPr>
            <w:hyperlink ns1:id="rId235">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des öffentlichen Rechts.</w:t>
            </w:r>
          </w:p>
        </w:tc>
      </w:tr>
      <w:tr>
        <w:tc>
          <w:tcPr/>
          <w:p>
            <w:pPr>
              <w:pStyle w:val="Compact"/>
            </w:pPr>
          </w:p>
        </w:tc>
        <w:tc>
          <w:tcPr/>
          <w:p>
            <w:pPr>
              <w:pStyle w:val="Compact"/>
            </w:pPr>
            <w:hyperlink ns1:id="rId236">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Nichtkaufmännische Prokura.</w:t>
            </w:r>
          </w:p>
        </w:tc>
      </w:tr>
      <w:tr>
        <w:tc>
          <w:tcPr/>
          <w:p>
            <w:pPr>
              <w:pStyle w:val="Compact"/>
            </w:pPr>
          </w:p>
        </w:tc>
        <w:tc>
          <w:tcPr/>
          <w:p>
            <w:pPr>
              <w:pStyle w:val="Compact"/>
            </w:pPr>
            <w:hyperlink ns1:id="rId237">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Haupt von Gemeinderschaft.</w:t>
            </w:r>
          </w:p>
        </w:tc>
      </w:tr>
      <w:tr>
        <w:tc>
          <w:tcPr/>
          <w:p>
            <w:pPr>
              <w:pStyle w:val="Compact"/>
            </w:pPr>
          </w:p>
        </w:tc>
        <w:tc>
          <w:tcPr/>
          <w:p>
            <w:pPr>
              <w:pStyle w:val="Compact"/>
            </w:pPr>
            <w:hyperlink ns1:id="rId238">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Zweigniederlassung.</w:t>
            </w:r>
          </w:p>
        </w:tc>
      </w:tr>
      <w:tr>
        <w:tc>
          <w:tcPr/>
          <w:p>
            <w:pPr>
              <w:pStyle w:val="Compact"/>
            </w:pPr>
          </w:p>
        </w:tc>
        <w:tc>
          <w:tcPr/>
          <w:p>
            <w:pPr>
              <w:pStyle w:val="Compact"/>
            </w:pPr>
            <w:hyperlink ns1:id="rId239">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Verwaltungseinheit des Bundes.</w:t>
            </w:r>
          </w:p>
        </w:tc>
      </w:tr>
      <w:tr>
        <w:tc>
          <w:tcPr/>
          <w:p>
            <w:pPr>
              <w:pStyle w:val="Compact"/>
            </w:pPr>
          </w:p>
        </w:tc>
        <w:tc>
          <w:tcPr/>
          <w:p>
            <w:pPr>
              <w:pStyle w:val="Compact"/>
            </w:pPr>
            <w:hyperlink ns1:id="rId240">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Verwaltungseinheit des Kantons.</w:t>
            </w:r>
          </w:p>
        </w:tc>
      </w:tr>
      <w:tr>
        <w:tc>
          <w:tcPr/>
          <w:p>
            <w:pPr>
              <w:pStyle w:val="Compact"/>
            </w:pPr>
          </w:p>
        </w:tc>
        <w:tc>
          <w:tcPr/>
          <w:p>
            <w:pPr>
              <w:pStyle w:val="Compact"/>
            </w:pPr>
            <w:hyperlink ns1:id="rId241">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Verwaltungseinheit des Bezirks.</w:t>
            </w:r>
          </w:p>
        </w:tc>
      </w:tr>
      <w:tr>
        <w:tc>
          <w:tcPr/>
          <w:p>
            <w:pPr>
              <w:pStyle w:val="Compact"/>
            </w:pPr>
          </w:p>
        </w:tc>
        <w:tc>
          <w:tcPr/>
          <w:p>
            <w:pPr>
              <w:pStyle w:val="Compact"/>
            </w:pPr>
            <w:hyperlink ns1:id="rId242">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Verwaltungseinheit der Gemeinde.</w:t>
            </w:r>
          </w:p>
        </w:tc>
      </w:tr>
      <w:tr>
        <w:tc>
          <w:tcPr/>
          <w:p>
            <w:pPr>
              <w:pStyle w:val="Compact"/>
            </w:pPr>
          </w:p>
        </w:tc>
        <w:tc>
          <w:tcPr/>
          <w:p>
            <w:pPr>
              <w:pStyle w:val="Compact"/>
            </w:pPr>
            <w:hyperlink ns1:id="rId243">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Andere öffentlich-rechtliche Verwaltungseinheit.</w:t>
            </w:r>
          </w:p>
        </w:tc>
      </w:tr>
      <w:tr>
        <w:tc>
          <w:tcPr/>
          <w:p>
            <w:pPr>
              <w:pStyle w:val="Compact"/>
            </w:pPr>
          </w:p>
        </w:tc>
        <w:tc>
          <w:tcPr/>
          <w:p>
            <w:pPr>
              <w:pStyle w:val="Compact"/>
            </w:pPr>
            <w:hyperlink ns1:id="rId244">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Einrichtung des öffentlichen Rechts des Bundes.</w:t>
            </w:r>
          </w:p>
        </w:tc>
      </w:tr>
      <w:tr>
        <w:tc>
          <w:tcPr/>
          <w:p>
            <w:pPr>
              <w:pStyle w:val="Compact"/>
            </w:pPr>
          </w:p>
        </w:tc>
        <w:tc>
          <w:tcPr/>
          <w:p>
            <w:pPr>
              <w:pStyle w:val="Compact"/>
            </w:pPr>
            <w:hyperlink ns1:id="rId245">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Einrichtung des öffentlichen Rechts des Kantons.</w:t>
            </w:r>
          </w:p>
        </w:tc>
      </w:tr>
      <w:tr>
        <w:tc>
          <w:tcPr/>
          <w:p>
            <w:pPr>
              <w:pStyle w:val="Compact"/>
            </w:pPr>
          </w:p>
        </w:tc>
        <w:tc>
          <w:tcPr/>
          <w:p>
            <w:pPr>
              <w:pStyle w:val="Compact"/>
            </w:pPr>
            <w:hyperlink ns1:id="rId246">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Einrichtung des öffentlichen Rechts des Bezirks.</w:t>
            </w:r>
          </w:p>
        </w:tc>
      </w:tr>
      <w:tr>
        <w:tc>
          <w:tcPr/>
          <w:p>
            <w:pPr>
              <w:pStyle w:val="Compact"/>
            </w:pPr>
          </w:p>
        </w:tc>
        <w:tc>
          <w:tcPr/>
          <w:p>
            <w:pPr>
              <w:pStyle w:val="Compact"/>
            </w:pPr>
            <w:hyperlink ns1:id="rId247">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Einrichtung des öffentlichen Rechts der Gemeinde.</w:t>
            </w:r>
          </w:p>
        </w:tc>
      </w:tr>
      <w:tr>
        <w:tc>
          <w:tcPr/>
          <w:p>
            <w:pPr>
              <w:pStyle w:val="Compact"/>
            </w:pPr>
          </w:p>
        </w:tc>
        <w:tc>
          <w:tcPr/>
          <w:p>
            <w:pPr>
              <w:pStyle w:val="Compact"/>
            </w:pPr>
            <w:hyperlink ns1:id="rId248">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Andere Einrichtung des öffentlichen Rechts.</w:t>
            </w:r>
          </w:p>
        </w:tc>
      </w:tr>
      <w:tr>
        <w:tc>
          <w:tcPr/>
          <w:p>
            <w:pPr>
              <w:pStyle w:val="Compact"/>
            </w:pPr>
          </w:p>
        </w:tc>
        <w:tc>
          <w:tcPr/>
          <w:p>
            <w:pPr>
              <w:pStyle w:val="Compact"/>
            </w:pPr>
            <w:hyperlink ns1:id="rId249">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Einfache Gesellschaft.</w:t>
            </w:r>
          </w:p>
        </w:tc>
      </w:tr>
      <w:tr>
        <w:tc>
          <w:tcPr/>
          <w:p>
            <w:pPr>
              <w:pStyle w:val="Compact"/>
            </w:pPr>
          </w:p>
        </w:tc>
        <w:tc>
          <w:tcPr/>
          <w:p>
            <w:pPr>
              <w:pStyle w:val="Compact"/>
            </w:pPr>
            <w:hyperlink ns1:id="rId250">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Betriebsstätte oder Schweizer Vertretung eines ausländischen Unternehmens.</w:t>
            </w:r>
          </w:p>
        </w:tc>
      </w:tr>
      <w:tr>
        <w:tc>
          <w:tcPr/>
          <w:p>
            <w:pPr>
              <w:pStyle w:val="Compact"/>
            </w:pPr>
          </w:p>
        </w:tc>
        <w:tc>
          <w:tcPr/>
          <w:p>
            <w:pPr>
              <w:pStyle w:val="Compact"/>
            </w:pPr>
            <w:hyperlink ns1:id="rId251">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Ausländisches öffentliches Unternehmen.</w:t>
            </w:r>
          </w:p>
        </w:tc>
      </w:tr>
      <w:tr>
        <w:tc>
          <w:tcPr/>
          <w:p>
            <w:pPr>
              <w:pStyle w:val="Compact"/>
            </w:pPr>
          </w:p>
        </w:tc>
        <w:tc>
          <w:tcPr/>
          <w:p>
            <w:pPr>
              <w:pStyle w:val="Compact"/>
            </w:pPr>
            <w:hyperlink ns1:id="rId252">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Ausländische öffentliche Verwaltung.</w:t>
            </w:r>
          </w:p>
        </w:tc>
      </w:tr>
      <w:tr>
        <w:tc>
          <w:tcPr/>
          <w:p>
            <w:pPr>
              <w:pStyle w:val="Compact"/>
            </w:pPr>
          </w:p>
        </w:tc>
        <w:tc>
          <w:tcPr/>
          <w:p>
            <w:pPr>
              <w:pStyle w:val="Compact"/>
            </w:pPr>
            <w:hyperlink ns1:id="rId253">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Internationale Organisation.</w:t>
            </w:r>
          </w:p>
        </w:tc>
      </w:tr>
      <w:tr>
        <w:tc>
          <w:tcPr/>
          <w:p>
            <w:pPr>
              <w:pStyle w:val="Compact"/>
            </w:pPr>
          </w:p>
        </w:tc>
        <w:tc>
          <w:tcPr/>
          <w:p>
            <w:pPr>
              <w:pStyle w:val="Compact"/>
            </w:pPr>
            <w:hyperlink ns1:id="rId254">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Übrige Genossenschaft.</w:t>
            </w:r>
          </w:p>
        </w:tc>
      </w:tr>
      <w:tr>
        <w:tc>
          <w:tcPr/>
          <w:p>
            <w:pPr>
              <w:pStyle w:val="Compact"/>
            </w:pPr>
          </w:p>
        </w:tc>
        <w:tc>
          <w:tcPr/>
          <w:p>
            <w:pPr>
              <w:pStyle w:val="Compact"/>
            </w:pPr>
            <w:hyperlink ns1:id="rId255">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6">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57">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Ausländisches Unternehmen.</w:t>
            </w:r>
          </w:p>
        </w:tc>
      </w:tr>
      <w:tr>
        <w:tc>
          <w:tcPr/>
          <w:p>
            <w:pPr>
              <w:pStyle w:val="Compact"/>
            </w:pPr>
          </w:p>
        </w:tc>
        <w:tc>
          <w:tcPr/>
          <w:p>
            <w:pPr>
              <w:pStyle w:val="Compact"/>
            </w:pPr>
            <w:hyperlink ns1:id="rId258">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Rechtsform unbestimmt oder unbekannt.</w:t>
            </w:r>
          </w:p>
        </w:tc>
      </w:tr>
      <w:tr>
        <w:tc>
          <w:tcPr/>
          <w:p>
            <w:pPr>
              <w:pStyle w:val="Compact"/>
            </w:pPr>
          </w:p>
        </w:tc>
        <w:tc>
          <w:tcPr/>
          <w:p>
            <w:pPr>
              <w:pStyle w:val="Compact"/>
            </w:pPr>
            <w:hyperlink ns1:id="rId259">
              <w:r>
                <w:rPr>
                  <w:rStyle w:val="Hyperlink"/>
                </w:rPr>
                <w:t xml:space="preserve">https://register.ld.admin.ch/i14y/concept/legalForm/0571</w:t>
              </w:r>
            </w:hyperlink>
          </w:p>
        </w:tc>
      </w:tr>
    </w:tbl>
    <w:bookmarkEnd w:id="260"/>
    <w:p>
      <w:r>
        <w:br w:type="page"/>
      </w:r>
    </w:p>
    <w:bookmarkEnd w:id="261"/>
    <w:bookmarkEnd w:id="262"/>
    <w:bookmarkStart w:id="288" w:name="geteilte-elemente"/>
    <w:p>
      <w:pPr>
        <w:pStyle w:val="berschrift1"/>
      </w:pPr>
      <w:r>
        <w:t xml:space="preserve">Geteilte Elemente</w:t>
      </w:r>
    </w:p>
    <w:bookmarkStart w:id="263" w:name="reference-classes"/>
    <w:p>
      <w:pPr>
        <w:pStyle w:val="berschrift2"/>
      </w:pPr>
      <w:r>
        <w:t xml:space="preserve">Reference Classes</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werden verwendet, um Personen bzw. Gruppen</w:t>
      </w:r>
      <w:r>
        <w:t xml:space="preserve"> </w:t>
      </w:r>
      <w:r>
        <w:rPr>
          <w:b/>
          <w:bCs/>
        </w:rPr>
        <w:t xml:space="preserve">lokal</w:t>
      </w:r>
      <w:r>
        <w:t xml:space="preserve"> </w:t>
      </w:r>
      <w:r>
        <w:t xml:space="preserve">innerhalb einer anderen Entität zu referenzieren. Neben dem eigentlichen Link zur vollständigen Entität werden dabei nur die relevanten Informationen zum</w:t>
      </w:r>
      <w:r>
        <w:t xml:space="preserve"> </w:t>
      </w:r>
      <w:r>
        <w:rPr>
          <w:b/>
          <w:bCs/>
        </w:rPr>
        <w:t xml:space="preserve">Zeitpunkt der Verknüpfung</w:t>
      </w:r>
      <w:r>
        <w:t xml:space="preserve"> </w:t>
      </w:r>
      <w:r>
        <w:t xml:space="preserve">gespeichert – es müssen also nicht alle Informationen einer Person oder Gruppe bei jeder Erwähnung wiederholt werden.</w:t>
      </w:r>
    </w:p>
    <w:p>
      <w:pPr>
        <w:pStyle w:val="Textkrper"/>
      </w:pPr>
      <w:r>
        <w:t xml:space="preserve">Ein Beispiel: Eine Motion verweist auf die Person, die sie eingereicht hat. Zusätzlich zum Link auf die vollständige Personen-Entität speichert die Motion lokal Informationen wie die politische Partei oder die Rolle der Person</w:t>
      </w:r>
      <w:r>
        <w:t xml:space="preserve"> </w:t>
      </w:r>
      <w:r>
        <w:rPr>
          <w:b/>
          <w:bCs/>
        </w:rPr>
        <w:t xml:space="preserve">zum Zeitpunkt der Einreichung</w:t>
      </w:r>
      <w:r>
        <w:t xml:space="preserve">. Wechselt die Person später die Partei oder die Rolle, bleibt die Information in der Motion dennoch korrekt und unveränderlich.</w:t>
      </w:r>
    </w:p>
    <w:p>
      <w:pPr>
        <w:pStyle w:val="Textkrper"/>
      </w:pPr>
      <w:r>
        <w:t xml:space="preserve">Dies dient drei Zwecken:</w:t>
      </w:r>
    </w:p>
    <w:p>
      <w:pPr>
        <w:pStyle w:val="Compact"/>
        <w:numPr>
          <w:ilvl w:val="0"/>
          <w:numId w:val="1014"/>
        </w:numPr>
      </w:pPr>
      <w:r>
        <w:rPr>
          <w:b/>
          <w:bCs/>
        </w:rPr>
        <w:t xml:space="preserve">Nützliche lokale Daten</w:t>
      </w:r>
      <w:r>
        <w:t xml:space="preserve"> </w:t>
      </w:r>
      <w:r>
        <w:t xml:space="preserve">ohne aufwändige Abfragen der vollständigen Entität</w:t>
      </w:r>
    </w:p>
    <w:p>
      <w:pPr>
        <w:pStyle w:val="Compact"/>
        <w:numPr>
          <w:ilvl w:val="0"/>
          <w:numId w:val="1014"/>
        </w:numPr>
      </w:pPr>
      <w:r>
        <w:rPr>
          <w:b/>
          <w:bCs/>
        </w:rPr>
        <w:t xml:space="preserve">Keine Redundanz</w:t>
      </w:r>
      <w:r>
        <w:t xml:space="preserve">, da nicht alle Informationen bei jeder Erwähnung wiederholt werden müssen</w:t>
      </w:r>
    </w:p>
    <w:p>
      <w:pPr>
        <w:pStyle w:val="Compact"/>
        <w:numPr>
          <w:ilvl w:val="0"/>
          <w:numId w:val="1014"/>
        </w:numPr>
      </w:pPr>
      <w:r>
        <w:rPr>
          <w:b/>
          <w:bCs/>
        </w:rPr>
        <w:t xml:space="preserve">Implizite Versionierung</w:t>
      </w:r>
      <w:r>
        <w:t xml:space="preserve">, da die lokale Referenz unverändert bleibt, auch wenn sich die verknüpfte Entität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End w:id="263"/>
    <w:bookmarkStart w:id="267" w:name="klasse-personreference"/>
    <w:p>
      <w:pPr>
        <w:pStyle w:val="berschrift2"/>
      </w:pPr>
      <w:r>
        <w:t xml:space="preserve">Klasse: PersonReference</w:t>
      </w:r>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265"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des Gremiums zum Zeitpunkt der Verknüpfung.</w:t>
            </w:r>
          </w:p>
        </w:tc>
      </w:tr>
    </w:tbl>
    <w:bookmarkStart w:id="264" w:name="einschränkungen-4"/>
    <w:p>
      <w:pPr>
        <w:pStyle w:val="berschrift5"/>
      </w:pPr>
      <w:r>
        <w:t xml:space="preserve">Einschränkungen</w:t>
      </w:r>
    </w:p>
    <w:p>
      <w:pPr>
        <w:pStyle w:val="FirstParagraph"/>
      </w:pPr>
      <w:r>
        <w:t xml:space="preserve">Mindestens eines der folgenden Felder muss gesetzt sein:</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4"/>
    <w:bookmarkEnd w:id="265"/>
    <w:bookmarkStart w:id="266" w:name="verwendungen-13"/>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6"/>
    <w:bookmarkEnd w:id="267"/>
    <w:bookmarkStart w:id="271" w:name="klasse-groupreference"/>
    <w:p>
      <w:pPr>
        <w:pStyle w:val="berschrift2"/>
      </w:pPr>
      <w:r>
        <w:t xml:space="preserve">Klasse: GroupReference</w:t>
      </w:r>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26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Abkürzung (kann mehrsprachig sein).</w:t>
            </w:r>
          </w:p>
        </w:tc>
      </w:tr>
    </w:tbl>
    <w:bookmarkStart w:id="268" w:name="einschränkungen-5"/>
    <w:p>
      <w:pPr>
        <w:pStyle w:val="berschrift5"/>
      </w:pPr>
      <w:r>
        <w:t xml:space="preserve">Einschränkungen</w:t>
      </w:r>
    </w:p>
    <w:p>
      <w:pPr>
        <w:pStyle w:val="FirstParagraph"/>
      </w:pPr>
      <w:r>
        <w:t xml:space="preserve">Mindestens eines der folgenden Felder muss gesetzt sein:</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68"/>
    <w:bookmarkEnd w:id="269"/>
    <w:bookmarkStart w:id="270" w:name="verwendungen-14"/>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0"/>
    <w:bookmarkEnd w:id="271"/>
    <w:bookmarkStart w:id="274" w:name="mehrfach-benutzte-klassen"/>
    <w:p>
      <w:pPr>
        <w:pStyle w:val="berschrift2"/>
      </w:pPr>
      <w:r>
        <w:t xml:space="preserve">Mehrfach benutzte Klassen</w:t>
      </w:r>
    </w:p>
    <w:p>
      <w:pPr>
        <w:pStyle w:val="FirstParagraph"/>
      </w:pPr>
      <w:r>
        <w:t xml:space="preserve">Eine Adresse wird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und</w:t>
      </w:r>
      <w:r>
        <w:t xml:space="preserve"> </w:t>
      </w:r>
      <w:r>
        <w:rPr>
          <w:rStyle w:val="VerbatimChar"/>
        </w:rPr>
        <w:t xml:space="preserve">country</w:t>
      </w:r>
      <w:r>
        <w:t xml:space="preserve"> </w:t>
      </w:r>
      <w:r>
        <w:t xml:space="preserve">geschrieben und kann über</w:t>
      </w:r>
      <w:r>
        <w:t xml:space="preserve"> </w:t>
      </w:r>
      <w:r>
        <w:rPr>
          <w:rStyle w:val="VerbatimChar"/>
        </w:rPr>
        <w:t xml:space="preserve">address_uri</w:t>
      </w:r>
      <w:r>
        <w:t xml:space="preserve"> </w:t>
      </w:r>
      <w:r>
        <w:t xml:space="preserve">ins Amtliche Gebäudeadressverzeichnis von swisstopo verweisen. Die letzte Zahl dieser URI ist die EGAID, der eidgenössische Gebäudeadressidentifikator;</w:t>
      </w:r>
      <w:r>
        <w:t xml:space="preserve"> </w:t>
      </w:r>
      <w:r>
        <w:rPr>
          <w:rStyle w:val="VerbatimChar"/>
        </w:rPr>
        <w:t xml:space="preserve">https://geo.ld.admin.ch/location/address/101009806</w:t>
      </w:r>
      <w:r>
        <w:t xml:space="preserve"> </w:t>
      </w:r>
      <w:r>
        <w:t xml:space="preserve">bezeichnet damit „Rue de Genève 17, 1003 Lausanne” als amtlich geführte Gebäudeadresse.</w:t>
      </w:r>
    </w:p>
    <w:p>
      <w:pPr>
        <w:pStyle w:val="Textkrper"/>
      </w:pPr>
      <w:r>
        <w:rPr>
          <w:rStyle w:val="VerbatimChar"/>
        </w:rPr>
        <w:t xml:space="preserve">address_uri</w:t>
      </w:r>
      <w:r>
        <w:t xml:space="preserve"> </w:t>
      </w:r>
      <w:r>
        <w:t xml:space="preserve">ist optional. Die geschriebene Adresse allein ist zulässig, vorzuziehen ist aber der Verweis über die EGAID: Sie ist ein eindeutiger Identifikator und über die Zeit stabil, während Strassennamen geändert, Gemeinden fusioniert und Postleitzahlen neu zugeschnitten werden.</w:t>
      </w:r>
    </w:p>
    <w:p>
      <w:pPr>
        <w:pStyle w:val="Textkrper"/>
      </w:pPr>
      <w:r>
        <w:t xml:space="preserve">Um zur EGAID zu gelangen, kann man die</w:t>
      </w:r>
      <w:r>
        <w:t xml:space="preserve"> </w:t>
      </w:r>
      <w:hyperlink ns1:id="rId272">
        <w:r>
          <w:rPr>
            <w:rStyle w:val="Hyperlink"/>
          </w:rPr>
          <w:t xml:space="preserve">Such-API von geo.admin.ch</w:t>
        </w:r>
      </w:hyperlink>
      <w:r>
        <w:t xml:space="preserve"> </w:t>
      </w:r>
      <w:r>
        <w:t xml:space="preserve">benutzen oder mit dem</w:t>
      </w:r>
      <w:r>
        <w:t xml:space="preserve"> </w:t>
      </w:r>
      <w:hyperlink ns1:id="rId273">
        <w:r>
          <w:rPr>
            <w:rStyle w:val="Hyperlink"/>
          </w:rPr>
          <w:t xml:space="preserve">Amtlichen Verzeichnis der Gebäudeadressen</w:t>
        </w:r>
      </w:hyperlink>
      <w:r>
        <w:t xml:space="preserve"> </w:t>
      </w:r>
      <w:r>
        <w:t xml:space="preserve">abgleichen. Erfasst wird das Ergebnis in</w:t>
      </w:r>
      <w:r>
        <w:t xml:space="preserve"> </w:t>
      </w:r>
      <w:r>
        <w:rPr>
          <w:rStyle w:val="VerbatimChar"/>
        </w:rPr>
        <w:t xml:space="preserve">address_uri</w:t>
      </w:r>
      <w:r>
        <w:t xml:space="preserve">.</w:t>
      </w:r>
    </w:p>
    <w:bookmarkEnd w:id="274"/>
    <w:bookmarkStart w:id="281" w:name="klasse-address"/>
    <w:p>
      <w:pPr>
        <w:pStyle w:val="berschrift2"/>
      </w:pPr>
      <w:r>
        <w:t xml:space="preserve">Klasse: Address</w:t>
      </w:r>
    </w:p>
    <w:p>
      <w:pPr>
        <w:pStyle w:val="FirstParagraph"/>
      </w:pPr>
      <w:r>
        <w:rPr>
          <w:i/>
          <w:iCs/>
        </w:rPr>
        <w:t xml:space="preserve">Eine Adresse mit einem Typ (z.B. Privatadresse, Geschäftsadresse) und einem Wert.</w:t>
      </w:r>
    </w:p>
    <w:bookmarkStart w:id="276"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 der 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der Adresse aus dem Amtlichen Gebäudeadressverzeichnis (swisstopo). Der letzte Abschnitt der URI ist die EGAID, der eidgenössische Gebäudeadressidentifikator dieses Verzeichnisses. Beispiel einer gültigen URI: https://geo.ld.admin.ch/location/address/101904050 — dasselbe Verzeichnis ist als Kartenlayer einsehbar unter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Strassenadresse.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Postleitzahl.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Ort.</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Ländercode.</w:t>
            </w:r>
          </w:p>
        </w:tc>
      </w:tr>
    </w:tbl>
    <w:bookmarkStart w:id="275" w:name="einschränkungen-6"/>
    <w:p>
      <w:pPr>
        <w:pStyle w:val="berschrift5"/>
      </w:pPr>
      <w:r>
        <w:t xml:space="preserve">Einschränkungen</w:t>
      </w:r>
    </w:p>
    <w:p>
      <w:pPr>
        <w:pStyle w:val="FirstParagraph"/>
      </w:pPr>
      <w:r>
        <w:t xml:space="preserve">Mindestens eines der folgenden Felder muss gesetzt sein:</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5"/>
    <w:bookmarkEnd w:id="276"/>
    <w:bookmarkStart w:id="277" w:name="verwendungen-15"/>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7"/>
    <w:bookmarkStart w:id="280" w:name="beispiele-6"/>
    <w:p>
      <w:pPr>
        <w:pStyle w:val="berschrift3"/>
      </w:pPr>
      <w:r>
        <w:t xml:space="preserve">Beispiele</w:t>
      </w:r>
    </w:p>
    <w:bookmarkStart w:id="278" w:name="Xf095b2e369c17b9d4b00d89757da026f1ba610c"/>
    <w:p>
      <w:pPr>
        <w:pStyle w:val="berschrift4"/>
      </w:pPr>
      <w:r>
        <w:t xml:space="preserve">Beispiel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78"/>
    <w:bookmarkStart w:id="279" w:name="Xc824c1557d7f798a2de35573419fcffdd0cf97d"/>
    <w:p>
      <w:pPr>
        <w:pStyle w:val="berschrift4"/>
      </w:pPr>
      <w:r>
        <w:t xml:space="preserve">Beispiel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79"/>
    <w:bookmarkEnd w:id="280"/>
    <w:bookmarkEnd w:id="281"/>
    <w:bookmarkStart w:id="284" w:name="enum-addresstypeenum"/>
    <w:p>
      <w:pPr>
        <w:pStyle w:val="berschrift2"/>
      </w:pPr>
      <w:r>
        <w:t xml:space="preserve">Enum: AddressTypeEnum</w:t>
      </w:r>
    </w:p>
    <w:p>
      <w:pPr>
        <w:pStyle w:val="FirstParagraph"/>
      </w:pPr>
      <w:r>
        <w:rPr>
          <w:i/>
          <w:iCs/>
        </w:rPr>
        <w:t xml:space="preserve">Adresstypen.</w:t>
      </w:r>
    </w:p>
    <w:p>
      <w:pPr>
        <w:pStyle w:val="Textkrper"/>
      </w:pPr>
      <w:r>
        <w:t xml:space="preserve">URI:</w:t>
      </w:r>
      <w:r>
        <w:t xml:space="preserve"> </w:t>
      </w:r>
      <w:hyperlink ns1:id="rId282">
        <w:r>
          <w:rPr>
            <w:rStyle w:val="Hyperlink"/>
          </w:rPr>
          <w:t xml:space="preserve">act:AddressTypeEnum</w:t>
        </w:r>
      </w:hyperlink>
    </w:p>
    <w:bookmarkStart w:id="283" w:name="zulässige-werte-7"/>
    <w:p>
      <w:pPr>
        <w:pStyle w:val="berschrift3"/>
      </w:pPr>
      <w:r>
        <w:t xml:space="preserve">Zulässige Werte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privateAddress</w:t>
            </w:r>
          </w:p>
        </w:tc>
        <w:tc>
          <w:tcPr>
            <w:shd w:val="clear" w:color="auto" w:fill="F2F2F2"/>
          </w:tcPr>
          <w:p>
            <w:pPr>
              <w:pStyle w:val="Compact"/>
            </w:pPr>
            <w:r>
              <w:t xml:space="preserve">Privatadresse.</w:t>
            </w:r>
          </w:p>
        </w:tc>
      </w:tr>
      <w:tr>
        <w:tc>
          <w:tcPr/>
          <w:p>
            <w:pPr>
              <w:pStyle w:val="Compact"/>
            </w:pPr>
            <w:r>
              <w:t xml:space="preserve">businessAddress</w:t>
            </w:r>
          </w:p>
        </w:tc>
        <w:tc>
          <w:tcPr/>
          <w:p>
            <w:pPr>
              <w:pStyle w:val="Compact"/>
            </w:pPr>
            <w:r>
              <w:t xml:space="preserve">Geschäftsadresse.</w:t>
            </w:r>
          </w:p>
        </w:tc>
      </w:tr>
      <w:tr>
        <w:tc>
          <w:tcPr>
            <w:shd w:val="clear" w:color="auto" w:fill="F2F2F2"/>
          </w:tcPr>
          <w:p>
            <w:pPr>
              <w:pStyle w:val="Compact"/>
            </w:pPr>
            <w:r>
              <w:t xml:space="preserve">localAddress</w:t>
            </w:r>
          </w:p>
        </w:tc>
        <w:tc>
          <w:tcPr>
            <w:shd w:val="clear" w:color="auto" w:fill="F2F2F2"/>
          </w:tcPr>
          <w:p>
            <w:pPr>
              <w:pStyle w:val="Compact"/>
            </w:pPr>
            <w:r>
              <w:t xml:space="preserve">Lokaladresse.</w:t>
            </w:r>
          </w:p>
        </w:tc>
      </w:tr>
    </w:tbl>
    <w:bookmarkEnd w:id="283"/>
    <w:bookmarkEnd w:id="284"/>
    <w:bookmarkStart w:id="287" w:name="klasse-contact"/>
    <w:p>
      <w:pPr>
        <w:pStyle w:val="berschrift2"/>
      </w:pPr>
      <w:r>
        <w:t xml:space="preserve">Klasse: Contact</w:t>
      </w:r>
    </w:p>
    <w:p>
      <w:pPr>
        <w:pStyle w:val="FirstParagraph"/>
      </w:pPr>
      <w:r>
        <w:rPr>
          <w:i/>
          <w:iCs/>
        </w:rPr>
        <w:t xml:space="preserve">Kontaktinformation einer Person mit Angabe eines Typs (z.B. E-Mail, LinkedIn) und eines Werts.</w:t>
      </w:r>
    </w:p>
    <w:bookmarkStart w:id="285"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 der Kontaktinformation.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Der eigentliche Wert einer Information neben weiteren attributen wie Typ, Sprache,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Möglichkeit bei einer strukturierten Information, ein Label zu vergeben (bspw. Anzeigename, Anstellung, etc.).</w:t>
            </w:r>
          </w:p>
        </w:tc>
      </w:tr>
    </w:tbl>
    <w:bookmarkEnd w:id="285"/>
    <w:bookmarkStart w:id="286" w:name="verwendungen-16"/>
    <w:p>
      <w:pPr>
        <w:pStyle w:val="berschrift3"/>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6"/>
    <w:p>
      <w:r>
        <w:br w:type="page"/>
      </w:r>
    </w:p>
    <w:bookmarkEnd w:id="287"/>
    <w:bookmarkEnd w:id="288"/>
    <w:bookmarkStart w:id="303" w:name="anhang-a-referenzen-bibliographie"/>
    <w:p>
      <w:pPr>
        <w:pStyle w:val="berschrift1"/>
      </w:pPr>
      <w:r>
        <w:t xml:space="preserve">Anhang A – Referenzen &amp; Bibliographie</w:t>
      </w:r>
    </w:p>
    <w:p>
      <w:pPr>
        <w:pStyle w:val="FirstParagraph"/>
      </w:pPr>
      <w:r>
        <w:t xml:space="preserve">Angegeben ist jeweils die Version, gegen die dieser Standard erarbeitet wurde.</w:t>
      </w:r>
    </w:p>
    <w:bookmarkStart w:id="294" w:name="Xdbf62244f6b4f9f16288a703ef5341868a945ae"/>
    <w:p>
      <w:pPr>
        <w:pStyle w:val="berschrift2"/>
      </w:pPr>
      <w:r>
        <w:t xml:space="preserve">Standards der Fachgruppe „Politische Geschäfte”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Metaprozesse zu politischen Geschäften, Version 1.0.0 – gemeinsame Datenelemente:</w:t>
            </w:r>
            <w:r>
              <w:t xml:space="preserve"> </w:t>
            </w:r>
            <w:hyperlink ns1:id="rId289">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Öffentlicher Ratsbetrieb, Version 1.0.0:</w:t>
            </w:r>
            <w:r>
              <w:t xml:space="preserve"> </w:t>
            </w:r>
            <w:hyperlink ns1:id="rId290">
              <w:r>
                <w:rPr>
                  <w:rStyle w:val="Hyperlink"/>
                </w:rPr>
                <w:t xml:space="preserve">https://www.ech.ch/de/ech/ech-0293</w:t>
              </w:r>
            </w:hyperlink>
          </w:p>
        </w:tc>
      </w:tr>
      <w:tr>
        <w:tc>
          <w:tcPr/>
          <w:p>
            <w:pPr>
              <w:pStyle w:val="Compact"/>
            </w:pPr>
            <w:r>
              <w:t xml:space="preserve">[eCH-0295]</w:t>
            </w:r>
          </w:p>
        </w:tc>
        <w:tc>
          <w:tcPr/>
          <w:p>
            <w:pPr>
              <w:pStyle w:val="Compact"/>
            </w:pPr>
            <w:r>
              <w:t xml:space="preserve">eCH-0295: Parlamentarische Geschäfte, Version 1.0.0:</w:t>
            </w:r>
            <w:r>
              <w:t xml:space="preserve"> </w:t>
            </w:r>
            <w:hyperlink ns1:id="rId291">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 Version 1.0.0:</w:t>
            </w:r>
            <w:r>
              <w:t xml:space="preserve"> </w:t>
            </w:r>
            <w:hyperlink ns1:id="rId292">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 Version 1.0.0:</w:t>
            </w:r>
            <w:r>
              <w:t xml:space="preserve"> </w:t>
            </w:r>
            <w:hyperlink ns1:id="rId293">
              <w:r>
                <w:rPr>
                  <w:rStyle w:val="Hyperlink"/>
                </w:rPr>
                <w:t xml:space="preserve">https://www.ech.ch/de/ech/ech-0297</w:t>
              </w:r>
            </w:hyperlink>
          </w:p>
        </w:tc>
      </w:tr>
    </w:tbl>
    <w:bookmarkEnd w:id="294"/>
    <w:bookmarkStart w:id="296" w:name="weitere-ech-standards"/>
    <w:p>
      <w:pPr>
        <w:pStyle w:val="berschrift2"/>
      </w:pPr>
      <w:r>
        <w:t xml:space="preserve">Weitere eCH-Standards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(Genehmigt, 27.07.2023). Grundlage der Namenstypen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(Genehmigt, 04.04.2024). Definiert das Austauschformat der UID (</w:t>
            </w:r>
            <w:r>
              <w:rPr>
                <w:rStyle w:val="VerbatimChar"/>
              </w:rPr>
              <w:t xml:space="preserve">organization_uid</w:t>
            </w:r>
            <w:r>
              <w:t xml:space="preserve">) und ist der Standard, zu dem die Rechtsform-Codeliste in</w:t>
            </w:r>
            <w:r>
              <w:t xml:space="preserve"> </w:t>
            </w:r>
            <w:r>
              <w:rPr>
                <w:rStyle w:val="VerbatimChar"/>
              </w:rPr>
              <w:t xml:space="preserve">LegalFormEnum</w:t>
            </w:r>
            <w:r>
              <w:t xml:space="preserve"> </w:t>
            </w:r>
            <w:r>
              <w:t xml:space="preserve">konform ist:</w:t>
            </w:r>
            <w:r>
              <w:t xml:space="preserve"> </w:t>
            </w:r>
            <w:hyperlink ns1:id="rId295">
              <w:r>
                <w:rPr>
                  <w:rStyle w:val="Hyperlink"/>
                </w:rPr>
                <w:t xml:space="preserve">https://www.ech.ch/de/ech/ech-0108/6.0.0</w:t>
              </w:r>
            </w:hyperlink>
          </w:p>
        </w:tc>
      </w:tr>
    </w:tbl>
    <w:bookmarkEnd w:id="296"/>
    <w:bookmarkStart w:id="302"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Interoperabilitätsplattform des Bundesamts für Statistik. Bezugsquelle der Codelisten für Rechtsform (</w:t>
            </w:r>
            <w:r>
              <w:rPr>
                <w:rStyle w:val="VerbatimChar"/>
              </w:rPr>
              <w:t xml:space="preserve">LegalFormEnum</w:t>
            </w:r>
            <w:r>
              <w:t xml:space="preserve">) und Geschlecht (</w:t>
            </w:r>
            <w:r>
              <w:rPr>
                <w:rStyle w:val="VerbatimChar"/>
              </w:rPr>
              <w:t xml:space="preserve">GenderCodeEnum</w:t>
            </w:r>
            <w:r>
              <w:t xml:space="preserve">):</w:t>
            </w:r>
            <w:r>
              <w:t xml:space="preserve"> </w:t>
            </w:r>
            <w:hyperlink ns1:id="rId29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der Schweizerischen Bundesverwaltung. Identifikatoren der Schweizer Raumeinheiten (Land, Kanton, Bezirk, Gemeinde) für</w:t>
            </w:r>
            <w:r>
              <w:t xml:space="preserve"> </w:t>
            </w:r>
            <w:r>
              <w:rPr>
                <w:rStyle w:val="VerbatimChar"/>
              </w:rPr>
              <w:t xml:space="preserve">spatial</w:t>
            </w:r>
            <w:r>
              <w:t xml:space="preserve"> </w:t>
            </w:r>
            <w:r>
              <w:t xml:space="preserve">und</w:t>
            </w:r>
            <w:r>
              <w:t xml:space="preserve"> </w:t>
            </w:r>
            <w:r>
              <w:rPr>
                <w:rStyle w:val="VerbatimChar"/>
              </w:rPr>
              <w:t xml:space="preserve">ElectoralDistrict</w:t>
            </w:r>
            <w:r>
              <w:t xml:space="preserve">:</w:t>
            </w:r>
            <w:r>
              <w:t xml:space="preserve"> </w:t>
            </w:r>
            <w:hyperlink ns1:id="rId298">
              <w:r>
                <w:rPr>
                  <w:rStyle w:val="Hyperlink"/>
                </w:rPr>
                <w:t xml:space="preserve">https://ld.admin.ch</w:t>
              </w:r>
            </w:hyperlink>
          </w:p>
        </w:tc>
      </w:tr>
      <w:tr>
        <w:tc>
          <w:tcPr/>
          <w:p>
            <w:pPr>
              <w:pStyle w:val="Compact"/>
            </w:pPr>
            <w:r>
              <w:t xml:space="preserve">[NOGA]</w:t>
            </w:r>
          </w:p>
        </w:tc>
        <w:tc>
          <w:tcPr/>
          <w:p>
            <w:pPr>
              <w:pStyle w:val="Compact"/>
            </w:pPr>
            <w:r>
              <w:t xml:space="preserve">Allgemeine Systematik der Wirtschaftszweige des Bundesamts für Statistik. Ermöglicht Auswertungen über die UID referenzierter Organisationen.</w:t>
            </w:r>
          </w:p>
        </w:tc>
      </w:tr>
      <w:tr>
        <w:tc>
          <w:tcPr>
            <w:shd w:val="clear" w:color="auto" w:fill="F2F2F2"/>
          </w:tcPr>
          <w:p>
            <w:pPr>
              <w:pStyle w:val="Compact"/>
            </w:pPr>
            <w:r>
              <w:t xml:space="preserve">[Wikidata]</w:t>
            </w:r>
          </w:p>
        </w:tc>
        <w:tc>
          <w:tcPr>
            <w:shd w:val="clear" w:color="auto" w:fill="F2F2F2"/>
          </w:tcPr>
          <w:p>
            <w:pPr>
              <w:pStyle w:val="Compact"/>
            </w:pPr>
            <w:r>
              <w:t xml:space="preserve">Freie Wissensdatenbank. Entitäts-IRI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9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Gemeinsames Vokabular für strukturierte Daten. Quelle mehrerer</w:t>
            </w:r>
            <w:r>
              <w:t xml:space="preserve"> </w:t>
            </w:r>
            <w:r>
              <w:rPr>
                <w:rStyle w:val="VerbatimChar"/>
              </w:rPr>
              <w:t xml:space="preserve">slot_uri</w:t>
            </w:r>
            <w:r>
              <w:t xml:space="preserve">-Zuordnungen:</w:t>
            </w:r>
            <w:r>
              <w:t xml:space="preserve"> </w:t>
            </w:r>
            <w:hyperlink ns1:id="rId300">
              <w:r>
                <w:rPr>
                  <w:rStyle w:val="Hyperlink"/>
                </w:rPr>
                <w:t xml:space="preserve">https://schema.org</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301">
              <w:r>
                <w:rPr>
                  <w:rStyle w:val="Hyperlink"/>
                </w:rPr>
                <w:t xml:space="preserve">https://linkml.io</w:t>
              </w:r>
            </w:hyperlink>
          </w:p>
        </w:tc>
      </w:tr>
    </w:tbl>
    <w:bookmarkEnd w:id="302"/>
    <w:bookmarkEnd w:id="30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Politische Akteure: Personen, Gruppen und Organe / 1.0.0 / Vorschlag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8" Target="act:enum/interest_type/association" TargetMode="External" /><Relationship Type="http://schemas.openxmlformats.org/officeDocument/2006/relationships/hyperlink" Id="rId217" Target="act:enum/interest_type/political_office" TargetMode="External" /><Relationship Type="http://schemas.openxmlformats.org/officeDocument/2006/relationships/hyperlink" Id="rId216" Target="act:enum/interest_type/professional_activity" TargetMode="External" /><Relationship Type="http://schemas.openxmlformats.org/officeDocument/2006/relationships/hyperlink" Id="rId272"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98" Target="https://ld.admin.ch" TargetMode="External" /><Relationship Type="http://schemas.openxmlformats.org/officeDocument/2006/relationships/hyperlink" Id="rId282"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5" Target="https://ld.ech.ch/schema/0294/actors/InterestTypeEnum" TargetMode="External" /><Relationship Type="http://schemas.openxmlformats.org/officeDocument/2006/relationships/hyperlink" Id="rId221"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2" Target="https://register.ld.admin.ch/i14y/concept/legalForm/0101" TargetMode="External" /><Relationship Type="http://schemas.openxmlformats.org/officeDocument/2006/relationships/hyperlink" Id="rId223" Target="https://register.ld.admin.ch/i14y/concept/legalForm/0103" TargetMode="External" /><Relationship Type="http://schemas.openxmlformats.org/officeDocument/2006/relationships/hyperlink" Id="rId224" Target="https://register.ld.admin.ch/i14y/concept/legalForm/0104" TargetMode="External" /><Relationship Type="http://schemas.openxmlformats.org/officeDocument/2006/relationships/hyperlink" Id="rId225" Target="https://register.ld.admin.ch/i14y/concept/legalForm/0105" TargetMode="External" /><Relationship Type="http://schemas.openxmlformats.org/officeDocument/2006/relationships/hyperlink" Id="rId226" Target="https://register.ld.admin.ch/i14y/concept/legalForm/0106" TargetMode="External" /><Relationship Type="http://schemas.openxmlformats.org/officeDocument/2006/relationships/hyperlink" Id="rId227" Target="https://register.ld.admin.ch/i14y/concept/legalForm/0107" TargetMode="External" /><Relationship Type="http://schemas.openxmlformats.org/officeDocument/2006/relationships/hyperlink" Id="rId228" Target="https://register.ld.admin.ch/i14y/concept/legalForm/0108" TargetMode="External" /><Relationship Type="http://schemas.openxmlformats.org/officeDocument/2006/relationships/hyperlink" Id="rId229" Target="https://register.ld.admin.ch/i14y/concept/legalForm/0109" TargetMode="External" /><Relationship Type="http://schemas.openxmlformats.org/officeDocument/2006/relationships/hyperlink" Id="rId230" Target="https://register.ld.admin.ch/i14y/concept/legalForm/0110" TargetMode="External" /><Relationship Type="http://schemas.openxmlformats.org/officeDocument/2006/relationships/hyperlink" Id="rId231" Target="https://register.ld.admin.ch/i14y/concept/legalForm/0111" TargetMode="External" /><Relationship Type="http://schemas.openxmlformats.org/officeDocument/2006/relationships/hyperlink" Id="rId232" Target="https://register.ld.admin.ch/i14y/concept/legalForm/0113" TargetMode="External" /><Relationship Type="http://schemas.openxmlformats.org/officeDocument/2006/relationships/hyperlink" Id="rId233" Target="https://register.ld.admin.ch/i14y/concept/legalForm/0114" TargetMode="External" /><Relationship Type="http://schemas.openxmlformats.org/officeDocument/2006/relationships/hyperlink" Id="rId234" Target="https://register.ld.admin.ch/i14y/concept/legalForm/0115" TargetMode="External" /><Relationship Type="http://schemas.openxmlformats.org/officeDocument/2006/relationships/hyperlink" Id="rId235" Target="https://register.ld.admin.ch/i14y/concept/legalForm/0116" TargetMode="External" /><Relationship Type="http://schemas.openxmlformats.org/officeDocument/2006/relationships/hyperlink" Id="rId236" Target="https://register.ld.admin.ch/i14y/concept/legalForm/0117" TargetMode="External" /><Relationship Type="http://schemas.openxmlformats.org/officeDocument/2006/relationships/hyperlink" Id="rId237" Target="https://register.ld.admin.ch/i14y/concept/legalForm/0118" TargetMode="External" /><Relationship Type="http://schemas.openxmlformats.org/officeDocument/2006/relationships/hyperlink" Id="rId238" Target="https://register.ld.admin.ch/i14y/concept/legalForm/0119" TargetMode="External" /><Relationship Type="http://schemas.openxmlformats.org/officeDocument/2006/relationships/hyperlink" Id="rId239" Target="https://register.ld.admin.ch/i14y/concept/legalForm/0151" TargetMode="External" /><Relationship Type="http://schemas.openxmlformats.org/officeDocument/2006/relationships/hyperlink" Id="rId240" Target="https://register.ld.admin.ch/i14y/concept/legalForm/0220" TargetMode="External" /><Relationship Type="http://schemas.openxmlformats.org/officeDocument/2006/relationships/hyperlink" Id="rId241" Target="https://register.ld.admin.ch/i14y/concept/legalForm/0221" TargetMode="External" /><Relationship Type="http://schemas.openxmlformats.org/officeDocument/2006/relationships/hyperlink" Id="rId242" Target="https://register.ld.admin.ch/i14y/concept/legalForm/0222" TargetMode="External" /><Relationship Type="http://schemas.openxmlformats.org/officeDocument/2006/relationships/hyperlink" Id="rId243" Target="https://register.ld.admin.ch/i14y/concept/legalForm/0223" TargetMode="External" /><Relationship Type="http://schemas.openxmlformats.org/officeDocument/2006/relationships/hyperlink" Id="rId244" Target="https://register.ld.admin.ch/i14y/concept/legalForm/0224" TargetMode="External" /><Relationship Type="http://schemas.openxmlformats.org/officeDocument/2006/relationships/hyperlink" Id="rId245" Target="https://register.ld.admin.ch/i14y/concept/legalForm/0230" TargetMode="External" /><Relationship Type="http://schemas.openxmlformats.org/officeDocument/2006/relationships/hyperlink" Id="rId246" Target="https://register.ld.admin.ch/i14y/concept/legalForm/0231" TargetMode="External" /><Relationship Type="http://schemas.openxmlformats.org/officeDocument/2006/relationships/hyperlink" Id="rId247" Target="https://register.ld.admin.ch/i14y/concept/legalForm/0232" TargetMode="External" /><Relationship Type="http://schemas.openxmlformats.org/officeDocument/2006/relationships/hyperlink" Id="rId248" Target="https://register.ld.admin.ch/i14y/concept/legalForm/0233" TargetMode="External" /><Relationship Type="http://schemas.openxmlformats.org/officeDocument/2006/relationships/hyperlink" Id="rId249" Target="https://register.ld.admin.ch/i14y/concept/legalForm/0234" TargetMode="External" /><Relationship Type="http://schemas.openxmlformats.org/officeDocument/2006/relationships/hyperlink" Id="rId250" Target="https://register.ld.admin.ch/i14y/concept/legalForm/0302" TargetMode="External" /><Relationship Type="http://schemas.openxmlformats.org/officeDocument/2006/relationships/hyperlink" Id="rId251" Target="https://register.ld.admin.ch/i14y/concept/legalForm/0312" TargetMode="External" /><Relationship Type="http://schemas.openxmlformats.org/officeDocument/2006/relationships/hyperlink" Id="rId252" Target="https://register.ld.admin.ch/i14y/concept/legalForm/0327" TargetMode="External" /><Relationship Type="http://schemas.openxmlformats.org/officeDocument/2006/relationships/hyperlink" Id="rId253" Target="https://register.ld.admin.ch/i14y/concept/legalForm/0328" TargetMode="External" /><Relationship Type="http://schemas.openxmlformats.org/officeDocument/2006/relationships/hyperlink" Id="rId254" Target="https://register.ld.admin.ch/i14y/concept/legalForm/0329" TargetMode="External" /><Relationship Type="http://schemas.openxmlformats.org/officeDocument/2006/relationships/hyperlink" Id="rId255" Target="https://register.ld.admin.ch/i14y/concept/legalForm/0355" TargetMode="External" /><Relationship Type="http://schemas.openxmlformats.org/officeDocument/2006/relationships/hyperlink" Id="rId256" Target="https://register.ld.admin.ch/i14y/concept/legalForm/0361" TargetMode="External" /><Relationship Type="http://schemas.openxmlformats.org/officeDocument/2006/relationships/hyperlink" Id="rId257" Target="https://register.ld.admin.ch/i14y/concept/legalForm/0362" TargetMode="External" /><Relationship Type="http://schemas.openxmlformats.org/officeDocument/2006/relationships/hyperlink" Id="rId258" Target="https://register.ld.admin.ch/i14y/concept/legalForm/0441" TargetMode="External" /><Relationship Type="http://schemas.openxmlformats.org/officeDocument/2006/relationships/hyperlink" Id="rId259"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0"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5" Target="https://www.ech.ch/de/ech/ech-0108/6.0.0" TargetMode="External" /><Relationship Type="http://schemas.openxmlformats.org/officeDocument/2006/relationships/hyperlink" Id="rId289" Target="https://www.ech.ch/de/ech/ech-0292" TargetMode="External" /><Relationship Type="http://schemas.openxmlformats.org/officeDocument/2006/relationships/hyperlink" Id="rId290" Target="https://www.ech.ch/de/ech/ech-0293" TargetMode="External" /><Relationship Type="http://schemas.openxmlformats.org/officeDocument/2006/relationships/hyperlink" Id="rId291" Target="https://www.ech.ch/de/ech/ech-0295" TargetMode="External" /><Relationship Type="http://schemas.openxmlformats.org/officeDocument/2006/relationships/hyperlink" Id="rId292" Target="https://www.ech.ch/de/ech/ech-0296" TargetMode="External" /><Relationship Type="http://schemas.openxmlformats.org/officeDocument/2006/relationships/hyperlink" Id="rId293" Target="https://www.ech.ch/de/ech/ech-0297" TargetMode="External" /><Relationship Type="http://schemas.openxmlformats.org/officeDocument/2006/relationships/hyperlink" Id="rId297"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3" Target="https://www.swisstopo.admin.ch/de/amtliches-verzeichnis-der-gebaeudeadressen" TargetMode="External" /><Relationship Type="http://schemas.openxmlformats.org/officeDocument/2006/relationships/hyperlink" Id="rId29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2026-08-10T02:00:29Z</dcterms:created>
  <dcterms:modified xsi:type="dcterms:W3CDTF">2026-08-10T02:00:29Z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