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de la circonscription électorale telle qu’elle est publiée par l’organe compétent pour l’élection.</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7e6614ab743318f1b88eb643de2352e15b06f93"/>
    <w:p>
      <w:pPr>
        <w:pStyle w:val="berschrift4"/>
      </w:pPr>
      <w:r>
        <w:t xml:space="preserve">Exemple InterestLink : Affiliation à une association de branche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3b499cf1bce36ae5365540ad3aecb5be08b8b42"/>
    <w:p>
      <w:pPr>
        <w:pStyle w:val="berschrift4"/>
      </w:pPr>
      <w:r>
        <w:t xml:space="preserve">Exemple InterestLink : Présidence d’un parti national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2026-08-10T02:00:34Z</dcterms:created>
  <dcterms:modified xsi:type="dcterms:W3CDTF">2026-08-10T02:00:34Z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