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Für Typen politischer Gruppen und Organisationen gelten drei Regeln.</w:t>
      </w:r>
    </w:p>
    <w:p>
      <w:pPr>
        <w:pStyle w:val="Textkrper"/>
      </w:pPr>
      <w:r>
        <w:rPr>
          <w:i/>
          <w:iCs/>
        </w:rPr>
        <w:t xml:space="preserve">Der Wert benennt die politische Funktion; die örtliche Bezeichnung gehört ins Label der Gruppe. Büro, Ratsleitung und Ufficio presidenziale erhalten deshalb alle den Wert</w:t>
      </w:r>
      <w:r>
        <w:rPr>
          <w:i/>
          <w:iCs/>
        </w:rPr>
        <w:t xml:space="preserve"> </w:t>
      </w:r>
      <w:r>
        <w:rPr>
          <w:rStyle w:val="VerbatimChar"/>
          <w:i/>
          <w:iCs/>
        </w:rPr>
        <w:t xml:space="preserve">council_bureau</w:t>
      </w:r>
      <w:r>
        <w:rPr>
          <w:i/>
          <w:iCs/>
        </w:rPr>
        <w:t xml:space="preserve">.</w:t>
      </w:r>
    </w:p>
    <w:p>
      <w:pPr>
        <w:pStyle w:val="Textkrper"/>
      </w:pPr>
      <w:r>
        <w:rPr>
          <w:i/>
          <w:iCs/>
        </w:rPr>
        <w:t xml:space="preserve">Verwandte Werte teilen ein Präfix. Die Familie</w:t>
      </w:r>
      <w:r>
        <w:rPr>
          <w:i/>
          <w:iCs/>
        </w:rPr>
        <w:t xml:space="preserve"> </w:t>
      </w:r>
      <w:r>
        <w:rPr>
          <w:rStyle w:val="VerbatimChar"/>
          <w:i/>
          <w:iCs/>
        </w:rPr>
        <w:t xml:space="preserve">council_</w:t>
      </w:r>
      <w:r>
        <w:rPr>
          <w:i/>
          <w:iCs/>
        </w:rPr>
        <w:t xml:space="preserve"> </w:t>
      </w:r>
      <w:r>
        <w:rPr>
          <w:i/>
          <w:iCs/>
        </w:rPr>
        <w:t xml:space="preserve">unterscheidet nicht nach Rat: Staatskanzlei und Parlamentsdienste sind beide</w:t>
      </w:r>
      <w:r>
        <w:rPr>
          <w:i/>
          <w:iCs/>
        </w:rPr>
        <w:t xml:space="preserve"> </w:t>
      </w:r>
      <w:r>
        <w:rPr>
          <w:rStyle w:val="VerbatimChar"/>
          <w:i/>
          <w:iCs/>
        </w:rPr>
        <w:t xml:space="preserve">council_secretariat</w:t>
      </w:r>
      <w:r>
        <w:rPr>
          <w:i/>
          <w:iCs/>
        </w:rPr>
        <w:t xml:space="preserve">, die Zugehörigkeit ergibt sich aus</w:t>
      </w:r>
      <w:r>
        <w:rPr>
          <w:i/>
          <w:iCs/>
        </w:rPr>
        <w:t xml:space="preserve"> </w:t>
      </w:r>
      <w:r>
        <w:rPr>
          <w:rStyle w:val="VerbatimChar"/>
          <w:i/>
          <w:iCs/>
        </w:rPr>
        <w:t xml:space="preserve">parent_groups</w:t>
      </w:r>
      <w:r>
        <w:rPr>
          <w:i/>
          <w:iCs/>
        </w:rPr>
        <w:t xml:space="preserve">. Sie gliedert sich in</w:t>
      </w:r>
      <w:r>
        <w:rPr>
          <w:i/>
          <w:iCs/>
        </w:rPr>
        <w:t xml:space="preserve"> </w:t>
      </w:r>
      <w:r>
        <w:rPr>
          <w:rStyle w:val="VerbatimChar"/>
          <w:i/>
          <w:iCs/>
        </w:rPr>
        <w:t xml:space="preserve">council_presidency</w:t>
      </w:r>
      <w:r>
        <w:rPr>
          <w:i/>
          <w:iCs/>
        </w:rPr>
        <w:t xml:space="preserve"> </w:t>
      </w:r>
      <w:r>
        <w:rPr>
          <w:i/>
          <w:iCs/>
        </w:rPr>
        <w:t xml:space="preserve">für das Präsidium,</w:t>
      </w:r>
      <w:r>
        <w:rPr>
          <w:i/>
          <w:iCs/>
        </w:rPr>
        <w:t xml:space="preserve"> </w:t>
      </w:r>
      <w:r>
        <w:rPr>
          <w:rStyle w:val="VerbatimChar"/>
          <w:i/>
          <w:iCs/>
        </w:rPr>
        <w:t xml:space="preserve">council_bureau</w:t>
      </w:r>
      <w:r>
        <w:rPr>
          <w:i/>
          <w:iCs/>
        </w:rPr>
        <w:t xml:space="preserve"> </w:t>
      </w:r>
      <w:r>
        <w:rPr>
          <w:i/>
          <w:iCs/>
        </w:rPr>
        <w:t xml:space="preserve">für das um die Fraktionsvertretung erweiterte Leitungsorgan und</w:t>
      </w:r>
      <w:r>
        <w:rPr>
          <w:i/>
          <w:iCs/>
        </w:rPr>
        <w:t xml:space="preserve"> </w:t>
      </w:r>
      <w:r>
        <w:rPr>
          <w:rStyle w:val="VerbatimChar"/>
          <w:i/>
          <w:iCs/>
        </w:rPr>
        <w:t xml:space="preserve">council_secretariat</w:t>
      </w:r>
      <w:r>
        <w:rPr>
          <w:i/>
          <w:iCs/>
        </w:rPr>
        <w:t xml:space="preserve"> </w:t>
      </w:r>
      <w:r>
        <w:rPr>
          <w:i/>
          <w:iCs/>
        </w:rPr>
        <w:t xml:space="preserve">für die Verwaltungseinheit mit Angestellten. Die Familie</w:t>
      </w:r>
      <w:r>
        <w:rPr>
          <w:i/>
          <w:iCs/>
        </w:rPr>
        <w:t xml:space="preserve"> </w:t>
      </w:r>
      <w:r>
        <w:rPr>
          <w:rStyle w:val="VerbatimChar"/>
          <w:i/>
          <w:iCs/>
        </w:rPr>
        <w:t xml:space="preserve">committee_</w:t>
      </w:r>
      <w:r>
        <w:rPr>
          <w:i/>
          <w:iCs/>
        </w:rPr>
        <w:t xml:space="preserve"> </w:t>
      </w:r>
      <w:r>
        <w:rPr>
          <w:i/>
          <w:iCs/>
        </w:rPr>
        <w:t xml:space="preserve">folgt demselben Muster, mit</w:t>
      </w:r>
      <w:r>
        <w:rPr>
          <w:i/>
          <w:iCs/>
        </w:rPr>
        <w:t xml:space="preserve"> </w:t>
      </w:r>
      <w:r>
        <w:rPr>
          <w:rStyle w:val="VerbatimChar"/>
          <w:i/>
          <w:iCs/>
        </w:rPr>
        <w:t xml:space="preserve">committee</w:t>
      </w:r>
      <w:r>
        <w:rPr>
          <w:i/>
          <w:iCs/>
        </w:rPr>
        <w:t xml:space="preserve"> </w:t>
      </w:r>
      <w:r>
        <w:rPr>
          <w:i/>
          <w:iCs/>
        </w:rPr>
        <w:t xml:space="preserve">als Grundfall.</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61">
        <w:r>
          <w:rPr>
            <w:rStyle w:val="Hyperlink"/>
          </w:rPr>
          <w:t xml:space="preserve">Such-API von geo.admin.ch</w:t>
        </w:r>
      </w:hyperlink>
      <w:r>
        <w:t xml:space="preserve"> </w:t>
      </w:r>
      <w:r>
        <w:t xml:space="preserve">benutzen oder mit dem</w:t>
      </w:r>
      <w:r>
        <w:t xml:space="preserve"> </w:t>
      </w:r>
      <w:hyperlink ns1:id="rId262">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63"/>
    <w:bookmarkStart w:id="270"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4"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beispiele-4"/>
    <w:p>
      <w:pPr>
        <w:pStyle w:val="berschrift3"/>
      </w:pPr>
      <w:r>
        <w:t xml:space="preserve">Beispiele</w:t>
      </w:r>
    </w:p>
    <w:bookmarkStart w:id="267"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71">
        <w:r>
          <w:rPr>
            <w:rStyle w:val="Hyperlink"/>
          </w:rPr>
          <w:t xml:space="preserve">act:AddressTypeEnum</w:t>
        </w:r>
      </w:hyperlink>
    </w:p>
    <w:bookmarkStart w:id="272"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2"/>
    <w:bookmarkEnd w:id="273"/>
    <w:bookmarkStart w:id="276"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4"/>
    <w:bookmarkStart w:id="275"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83"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82">
              <w:r>
                <w:rPr>
                  <w:rStyle w:val="Hyperlink"/>
                </w:rPr>
                <w:t xml:space="preserve">https://www.ech.ch/de/ech/ech-0297</w:t>
              </w:r>
            </w:hyperlink>
          </w:p>
        </w:tc>
      </w:tr>
    </w:tbl>
    <w:bookmarkEnd w:id="283"/>
    <w:bookmarkStart w:id="285"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84">
              <w:r>
                <w:rPr>
                  <w:rStyle w:val="Hyperlink"/>
                </w:rPr>
                <w:t xml:space="preserve">https://www.ech.ch/de/ech/ech-0108/6.0.0</w:t>
              </w:r>
            </w:hyperlink>
          </w:p>
        </w:tc>
      </w:tr>
    </w:tbl>
    <w:bookmarkEnd w:id="285"/>
    <w:bookmarkStart w:id="291"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2026-08-08T19:14:29Z</dcterms:created>
  <dcterms:modified xsi:type="dcterms:W3CDTF">2026-08-08T19:14:29Z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