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2026-08-10</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Fachgruppe</w:t>
            </w:r>
          </w:p>
        </w:tc>
        <w:tc>
          <w:tcPr/>
          <w:p>
            <w:pPr>
              <w:pStyle w:val="Compact"/>
            </w:pPr>
            <w:r>
              <w:t xml:space="preserve">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r>
              <w:br/>
            </w:r>
            <w:r>
              <w:t xml:space="preserve">T 044 388 74 64 / info@ech.ch / www.ech.ch</w:t>
            </w:r>
          </w:p>
        </w:tc>
      </w:tr>
    </w:tbl>
    <w:p>
      <w:r>
        <w:br w:type="page"/>
      </w:r>
    </w:p>
    <w:bookmarkStart w:id="21" w:name="zusammenfassung"/>
    <w:p>
      <w:pPr>
        <w:pStyle w:val="Nebentitel"/>
      </w:pPr>
      <w:r>
        <w:t xml:space="preserve">Zusammenfassung</w:t>
      </w:r>
    </w:p>
    <w:bookmarkEnd w:id="21"/>
    <w:p>
      <w:pPr>
        <w:pStyle w:val="Textkrper"/>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Start w:id="22" w:name="inhaltsverzeichnis"/>
    <w:p>
      <w:pPr>
        <w:pStyle w:val="Nebentitel"/>
      </w:pPr>
      <w:r>
        <w:t xml:space="preserve">Inhaltsverzeichnis</w:t>
      </w:r>
    </w:p>
    <w:bookmarkEnd w:id="22"/>
    <w:p>
      <w:r>
        <w:fldChar w:fldCharType="begin" w:dirty="true"/>
      </w:r>
      <w:r>
        <w:instrText xml:space="preserve"> TOC \o "1-2" \h \z \u </w:instrText>
      </w:r>
      <w:r>
        <w:fldChar w:fldCharType="separate"/>
      </w:r>
      <w:r>
        <w:t>Rechtsklick &gt; „Felder aktualisieren“, um das Inhaltsverzeichnis zu erzeugen.</w:t>
      </w:r>
      <w:r>
        <w:fldChar w:fldCharType="end"/>
      </w:r>
    </w:p>
    <w:bookmarkStart w:id="23" w:name="hinweis"/>
    <w:p>
      <w:pPr>
        <w:pStyle w:val="Nebentitel"/>
      </w:pPr>
      <w:r>
        <w:t xml:space="preserve">Hinweis</w:t>
      </w:r>
    </w:p>
    <w:bookmarkEnd w:id="23"/>
    <w:p>
      <w:pPr>
        <w:pStyle w:val="Textkrper"/>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p>
      <w:r>
        <w:br w:type="page"/>
      </w:r>
    </w:p>
    <w:bookmarkStart w:id="29" w:name="einleitung"/>
    <w:p>
      <w:pPr>
        <w:pStyle w:val="berschrift1"/>
      </w:pPr>
      <w:r>
        <w:t xml:space="preserve">Einleitung</w:t>
      </w:r>
    </w:p>
    <w:bookmarkStart w:id="24" w:name="status"/>
    <w:p>
      <w:pPr>
        <w:pStyle w:val="berschrift2"/>
      </w:pPr>
      <w:r>
        <w:t xml:space="preserve">Status</w:t>
      </w:r>
    </w:p>
    <w:p>
      <w:pPr>
        <w:pStyle w:val="FirstParagraph"/>
      </w:pPr>
      <w:r>
        <w:t xml:space="preserve">Vorschlag</w:t>
      </w:r>
    </w:p>
    <w:bookmarkEnd w:id="24"/>
    <w:bookmarkStart w:id="25" w:name="anwendungsgebiet"/>
    <w:p>
      <w:pPr>
        <w:pStyle w:val="berschrift2"/>
      </w:pPr>
      <w:r>
        <w:t xml:space="preserve">Anwendungsgebiet</w:t>
      </w:r>
    </w:p>
    <w:p>
      <w:pPr>
        <w:pStyle w:val="FirstParagraph"/>
      </w:pPr>
      <w:r>
        <w:t xml:space="preserve">Der Standard regelt die Publikation von Daten über politische Akteurinnen und Akteure durch die Stellen, die sie heute schon führen: Parlamentsdienste, Staatskanzleien und Gemeindeverwaltungen aller Staatsebenen. Er deckt insbesondere folgende Anwendungsfälle ab:</w:t>
      </w:r>
    </w:p>
    <w:p>
      <w:pPr>
        <w:pStyle w:val="Compact"/>
        <w:numPr>
          <w:ilvl w:val="0"/>
          <w:numId w:val="1001"/>
        </w:numPr>
      </w:pPr>
      <w:r>
        <w:t xml:space="preserve">Publikation der Mitglieder von Parlamenten, Regierungen und Kommissionen mit ihren Mitgliedschaften, Funktionen und Amtsdauern</w:t>
      </w:r>
    </w:p>
    <w:p>
      <w:pPr>
        <w:pStyle w:val="Compact"/>
        <w:numPr>
          <w:ilvl w:val="0"/>
          <w:numId w:val="1001"/>
        </w:numPr>
      </w:pPr>
      <w:r>
        <w:t xml:space="preserve">Publikation der Register der Interessenbindungen von Parlamentsmitgliedern</w:t>
      </w:r>
    </w:p>
    <w:p>
      <w:pPr>
        <w:pStyle w:val="Compact"/>
        <w:numPr>
          <w:ilvl w:val="0"/>
          <w:numId w:val="1001"/>
        </w:numPr>
      </w:pPr>
      <w:r>
        <w:t xml:space="preserve">Referenzierung von Personen, Gruppen und Organen aus den übrigen Standards der Familie „Politische Geschäfte”, etwa für Wortmeldungen und Abstimmungen im Ratsbetrieb (eCH-0293) oder für die Urheberschaft parlamentarischer Geschäfte (eCH-0295)</w:t>
      </w:r>
    </w:p>
    <w:p>
      <w:pPr>
        <w:pStyle w:val="Compact"/>
        <w:numPr>
          <w:ilvl w:val="0"/>
          <w:numId w:val="1001"/>
        </w:numPr>
      </w:pPr>
      <w:r>
        <w:t xml:space="preserve">Nachnutzung dieser Daten durch Medien, Forschung und Öffentlichkeit, über Staatsebenen hinweg vergleichbar</w:t>
      </w:r>
    </w:p>
    <w:bookmarkEnd w:id="25"/>
    <w:bookmarkStart w:id="26"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2"/>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2"/>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2"/>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2"/>
        </w:numPr>
      </w:pPr>
      <w:r>
        <w:rPr>
          <w:b/>
          <w:bCs/>
        </w:rPr>
        <w:t xml:space="preserve">eCH-0295 – Parlamentarische Geschäfte (Affairs):</w:t>
      </w:r>
      <w:r>
        <w:t xml:space="preserve"> </w:t>
      </w:r>
      <w:r>
        <w:t xml:space="preserve">Beschreibt den Lebenszyklus politischer Geschäfte.</w:t>
      </w:r>
    </w:p>
    <w:p>
      <w:pPr>
        <w:pStyle w:val="Compact"/>
        <w:numPr>
          <w:ilvl w:val="0"/>
          <w:numId w:val="1002"/>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2"/>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6"/>
    <w:bookmarkStart w:id="27"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3"/>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3"/>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4"/>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4"/>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7"/>
    <w:bookmarkStart w:id="28"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5"/>
        </w:numPr>
      </w:pPr>
      <w:r>
        <w:rPr>
          <w:b/>
          <w:bCs/>
        </w:rPr>
        <w:t xml:space="preserve">Person</w:t>
      </w:r>
      <w:r>
        <w:t xml:space="preserve"> </w:t>
      </w:r>
      <w:r>
        <w:t xml:space="preserve">– Natürliche Personen im politischen Kontext</w:t>
      </w:r>
    </w:p>
    <w:p>
      <w:pPr>
        <w:pStyle w:val="Compact"/>
        <w:numPr>
          <w:ilvl w:val="0"/>
          <w:numId w:val="1005"/>
        </w:numPr>
      </w:pPr>
      <w:r>
        <w:rPr>
          <w:b/>
          <w:bCs/>
        </w:rPr>
        <w:t xml:space="preserve">Group</w:t>
      </w:r>
      <w:r>
        <w:t xml:space="preserve"> </w:t>
      </w:r>
      <w:r>
        <w:t xml:space="preserve">– Gremien, Parteien, Fraktionen, Räte, Kommissionen, Organisationen etc.</w:t>
      </w:r>
    </w:p>
    <w:p>
      <w:pPr>
        <w:pStyle w:val="Compact"/>
        <w:numPr>
          <w:ilvl w:val="0"/>
          <w:numId w:val="1005"/>
        </w:numPr>
      </w:pPr>
      <w:r>
        <w:rPr>
          <w:b/>
          <w:bCs/>
        </w:rPr>
        <w:t xml:space="preserve">Membership</w:t>
      </w:r>
      <w:r>
        <w:t xml:space="preserve"> </w:t>
      </w:r>
      <w:r>
        <w:t xml:space="preserve">– Verbindung zwischen Personen und Gruppen</w:t>
      </w:r>
    </w:p>
    <w:p>
      <w:pPr>
        <w:pStyle w:val="Compact"/>
        <w:numPr>
          <w:ilvl w:val="0"/>
          <w:numId w:val="1005"/>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8"/>
    <w:bookmarkEnd w:id="29"/>
    <w:bookmarkStart w:id="139"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6"/>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6"/>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6"/>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30">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31">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6"/>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6"/>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6"/>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6"/>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42" w:name="klasse-person"/>
    <w:p>
      <w:pPr>
        <w:pStyle w:val="berschrift2"/>
      </w:pPr>
      <w:r>
        <w:t xml:space="preserve">Klasse: Person</w:t>
      </w:r>
      <w:r>
        <w:t xml:space="preserve"> </w:t>
      </w:r>
      <w:bookmarkStart w:id="32" w:name="Person"/>
      <w:bookmarkEnd w:id="32"/>
    </w:p>
    <w:p>
      <w:pPr>
        <w:pStyle w:val="FirstParagraph"/>
      </w:pPr>
      <w:r>
        <w:rPr>
          <w:i/>
          <w:iCs/>
        </w:rPr>
        <w:t xml:space="preserve">Eine Person mit Identifikatoren, Namen, Adressen, Staatsbürgerschaften und Berufen.</w:t>
      </w:r>
    </w:p>
    <w:bookmarkStart w:id="33"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p>
      <w:pPr>
        <w:pStyle w:val="Beschriftung"/>
      </w:pPr>
      <w:r>
        <w:t xml:space="preserve">Tabelle</w:t>
      </w:r>
      <w:r>
        <w:t xml:space="preserve"> </w:t>
      </w:r>
      <w:fldSimple w:instr=" SEQ Tabelle \* ARABIC ">
        <w:r>
          <w:t>1</w:t>
        </w:r>
      </w:fldSimple>
      <w:r>
        <w:t xml:space="preserve">: Person – Attribute</w:t>
      </w:r>
    </w:p>
    <w:bookmarkEnd w:id="33"/>
    <w:bookmarkStart w:id="34" w:name="verwendungen"/>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p>
      <w:pPr>
        <w:pStyle w:val="Beschriftung"/>
      </w:pPr>
      <w:r>
        <w:t xml:space="preserve">Tabelle</w:t>
      </w:r>
      <w:r>
        <w:t xml:space="preserve"> </w:t>
      </w:r>
      <w:fldSimple w:instr=" SEQ Tabelle \* ARABIC ">
        <w:r>
          <w:t>1</w:t>
        </w:r>
      </w:fldSimple>
      <w:r>
        <w:t xml:space="preserve">: Person – Verwendungen</w:t>
      </w:r>
    </w:p>
    <w:bookmarkEnd w:id="34"/>
    <w:bookmarkStart w:id="41" w:name="beispiele"/>
    <w:p>
      <w:pPr>
        <w:pStyle w:val="berschrift3"/>
      </w:pPr>
      <w:r>
        <w:t xml:space="preserve">Beispiele</w:t>
      </w:r>
    </w:p>
    <w:bookmarkStart w:id="35"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6"/>
    <w:bookmarkStart w:id="37"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7"/>
    <w:bookmarkStart w:id="38"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8"/>
    <w:bookmarkStart w:id="39"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9"/>
    <w:bookmarkStart w:id="40"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40"/>
    <w:bookmarkEnd w:id="41"/>
    <w:bookmarkEnd w:id="42"/>
    <w:bookmarkStart w:id="46" w:name="klasse-name"/>
    <w:p>
      <w:pPr>
        <w:pStyle w:val="berschrift2"/>
      </w:pPr>
      <w:r>
        <w:t xml:space="preserve">Klasse: Name</w:t>
      </w:r>
      <w:r>
        <w:t xml:space="preserve"> </w:t>
      </w:r>
      <w:bookmarkStart w:id="43" w:name="Name"/>
      <w:bookmarkEnd w:id="43"/>
    </w:p>
    <w:p>
      <w:pPr>
        <w:pStyle w:val="FirstParagraph"/>
      </w:pPr>
      <w:r>
        <w:rPr>
          <w:i/>
          <w:iCs/>
        </w:rPr>
        <w:t xml:space="preserve">Ein Name mit einem Typ (z.B. Rufname, amtlicher Name) und einem Wert und einer zeitlichen Gültigkeit.</w:t>
      </w:r>
    </w:p>
    <w:bookmarkStart w:id="44"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Name – Attribute</w:t>
      </w:r>
    </w:p>
    <w:bookmarkEnd w:id="44"/>
    <w:bookmarkStart w:id="45"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p>
      <w:pPr>
        <w:pStyle w:val="Beschriftung"/>
      </w:pPr>
      <w:r>
        <w:t xml:space="preserve">Tabelle</w:t>
      </w:r>
      <w:r>
        <w:t xml:space="preserve"> </w:t>
      </w:r>
      <w:fldSimple w:instr=" SEQ Tabelle \* ARABIC ">
        <w:r>
          <w:t>1</w:t>
        </w:r>
      </w:fldSimple>
      <w:r>
        <w:t xml:space="preserve">: Name – Verwendungen</w:t>
      </w:r>
    </w:p>
    <w:bookmarkEnd w:id="45"/>
    <w:bookmarkEnd w:id="46"/>
    <w:bookmarkStart w:id="61" w:name="enum-nametypeenum"/>
    <w:p>
      <w:pPr>
        <w:pStyle w:val="berschrift2"/>
      </w:pPr>
      <w:r>
        <w:t xml:space="preserve">Enum: NameTypeEnum</w:t>
      </w:r>
      <w:r>
        <w:t xml:space="preserve"> </w:t>
      </w:r>
      <w:bookmarkStart w:id="47" w:name="NameTypeEnum"/>
      <w:bookmarkEnd w:id="47"/>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8">
        <w:r>
          <w:rPr>
            <w:rStyle w:val="Hyperlink"/>
          </w:rPr>
          <w:t xml:space="preserve">act:NameTypeEnum</w:t>
        </w:r>
      </w:hyperlink>
    </w:p>
    <w:bookmarkStart w:id="60"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9">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50">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51">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52">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53">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54">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55">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6">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7">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8">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9">
              <w:r>
                <w:rPr>
                  <w:rStyle w:val="Hyperlink"/>
                </w:rPr>
                <w:t xml:space="preserve">https://register.ld.admin.ch/i14y/concept/personDeclaredForeignerFirstName</w:t>
              </w:r>
            </w:hyperlink>
          </w:p>
        </w:tc>
      </w:tr>
    </w:tbl>
    <w:p>
      <w:pPr>
        <w:pStyle w:val="Beschriftung"/>
      </w:pPr>
      <w:r>
        <w:t xml:space="preserve">Tabelle</w:t>
      </w:r>
      <w:r>
        <w:t xml:space="preserve"> </w:t>
      </w:r>
      <w:fldSimple w:instr=" SEQ Tabelle \* ARABIC ">
        <w:r>
          <w:t>1</w:t>
        </w:r>
      </w:fldSimple>
      <w:r>
        <w:t xml:space="preserve">: NameTypeEnum – Zulässige Werte</w:t>
      </w:r>
    </w:p>
    <w:bookmarkEnd w:id="60"/>
    <w:bookmarkEnd w:id="61"/>
    <w:bookmarkStart w:id="65" w:name="klasse-languageproficiency"/>
    <w:p>
      <w:pPr>
        <w:pStyle w:val="berschrift2"/>
      </w:pPr>
      <w:r>
        <w:t xml:space="preserve">Klasse: LanguageProficiency</w:t>
      </w:r>
      <w:r>
        <w:t xml:space="preserve"> </w:t>
      </w:r>
      <w:bookmarkStart w:id="62" w:name="LanguageProficiency"/>
      <w:bookmarkEnd w:id="62"/>
    </w:p>
    <w:p>
      <w:pPr>
        <w:pStyle w:val="FirstParagraph"/>
      </w:pPr>
      <w:r>
        <w:rPr>
          <w:i/>
          <w:iCs/>
        </w:rPr>
        <w:t xml:space="preserve">Sprachkenntnisse einer Person mit Angabe der Sprache und ob es sich um die bevorzugte Sprache oder die Muttersprache handelt.</w:t>
      </w:r>
    </w:p>
    <w:bookmarkStart w:id="6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es sich um die Muttersprache handelt.</w:t>
            </w:r>
          </w:p>
        </w:tc>
      </w:tr>
    </w:tbl>
    <w:p>
      <w:pPr>
        <w:pStyle w:val="Beschriftung"/>
      </w:pPr>
      <w:r>
        <w:t xml:space="preserve">Tabelle</w:t>
      </w:r>
      <w:r>
        <w:t xml:space="preserve"> </w:t>
      </w:r>
      <w:fldSimple w:instr=" SEQ Tabelle \* ARABIC ">
        <w:r>
          <w:t>1</w:t>
        </w:r>
      </w:fldSimple>
      <w:r>
        <w:t xml:space="preserve">: LanguageProficiency – Attribute</w:t>
      </w:r>
    </w:p>
    <w:bookmarkEnd w:id="63"/>
    <w:bookmarkStart w:id="64"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p>
      <w:pPr>
        <w:pStyle w:val="Beschriftung"/>
      </w:pPr>
      <w:r>
        <w:t xml:space="preserve">Tabelle</w:t>
      </w:r>
      <w:r>
        <w:t xml:space="preserve"> </w:t>
      </w:r>
      <w:fldSimple w:instr=" SEQ Tabelle \* ARABIC ">
        <w:r>
          <w:t>1</w:t>
        </w:r>
      </w:fldSimple>
      <w:r>
        <w:t xml:space="preserve">: LanguageProficiency – Verwendungen</w:t>
      </w:r>
    </w:p>
    <w:bookmarkEnd w:id="64"/>
    <w:bookmarkEnd w:id="65"/>
    <w:bookmarkStart w:id="69" w:name="klasse-citizenship"/>
    <w:p>
      <w:pPr>
        <w:pStyle w:val="berschrift2"/>
      </w:pPr>
      <w:r>
        <w:t xml:space="preserve">Klasse: Citizenship</w:t>
      </w:r>
      <w:r>
        <w:t xml:space="preserve"> </w:t>
      </w:r>
      <w:bookmarkStart w:id="66" w:name="Citizenship"/>
      <w:bookmarkEnd w:id="66"/>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67"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Citizenship – Attribute</w:t>
      </w:r>
    </w:p>
    <w:bookmarkEnd w:id="67"/>
    <w:bookmarkStart w:id="68"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p>
      <w:pPr>
        <w:pStyle w:val="Beschriftung"/>
      </w:pPr>
      <w:r>
        <w:t xml:space="preserve">Tabelle</w:t>
      </w:r>
      <w:r>
        <w:t xml:space="preserve"> </w:t>
      </w:r>
      <w:fldSimple w:instr=" SEQ Tabelle \* ARABIC ">
        <w:r>
          <w:t>1</w:t>
        </w:r>
      </w:fldSimple>
      <w:r>
        <w:t xml:space="preserve">: Citizenship – Verwendungen</w:t>
      </w:r>
    </w:p>
    <w:bookmarkEnd w:id="68"/>
    <w:bookmarkEnd w:id="69"/>
    <w:bookmarkStart w:id="73" w:name="klasse-gender"/>
    <w:p>
      <w:pPr>
        <w:pStyle w:val="berschrift2"/>
      </w:pPr>
      <w:r>
        <w:t xml:space="preserve">Klasse: Gender</w:t>
      </w:r>
      <w:r>
        <w:t xml:space="preserve"> </w:t>
      </w:r>
      <w:bookmarkStart w:id="70" w:name="Gender"/>
      <w:bookmarkEnd w:id="70"/>
    </w:p>
    <w:p>
      <w:pPr>
        <w:pStyle w:val="FirstParagraph"/>
      </w:pPr>
      <w:r>
        <w:rPr>
          <w:i/>
          <w:iCs/>
        </w:rPr>
        <w:t xml:space="preserve">Geschlecht einer Person mit Angabe eines Geschlechtscodes und der zeitlichen Gültigkeit.</w:t>
      </w:r>
    </w:p>
    <w:bookmarkStart w:id="71"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Gender – Attribute</w:t>
      </w:r>
    </w:p>
    <w:bookmarkEnd w:id="71"/>
    <w:bookmarkStart w:id="72"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p>
      <w:pPr>
        <w:pStyle w:val="Beschriftung"/>
      </w:pPr>
      <w:r>
        <w:t xml:space="preserve">Tabelle</w:t>
      </w:r>
      <w:r>
        <w:t xml:space="preserve"> </w:t>
      </w:r>
      <w:fldSimple w:instr=" SEQ Tabelle \* ARABIC ">
        <w:r>
          <w:t>1</w:t>
        </w:r>
      </w:fldSimple>
      <w:r>
        <w:t xml:space="preserve">: Gender – Verwendungen</w:t>
      </w:r>
    </w:p>
    <w:bookmarkEnd w:id="72"/>
    <w:bookmarkEnd w:id="73"/>
    <w:bookmarkStart w:id="79" w:name="enum-gendercodeenum"/>
    <w:p>
      <w:pPr>
        <w:pStyle w:val="berschrift2"/>
      </w:pPr>
      <w:r>
        <w:t xml:space="preserve">Enum: GenderCodeEnum</w:t>
      </w:r>
      <w:r>
        <w:t xml:space="preserve"> </w:t>
      </w:r>
      <w:bookmarkStart w:id="74" w:name="GenderCodeEnum"/>
      <w:bookmarkEnd w:id="74"/>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75">
        <w:r>
          <w:rPr>
            <w:rStyle w:val="Hyperlink"/>
          </w:rPr>
          <w:t xml:space="preserve">act:GenderCodeEnum</w:t>
        </w:r>
      </w:hyperlink>
    </w:p>
    <w:bookmarkStart w:id="7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7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7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p>
      <w:pPr>
        <w:pStyle w:val="Beschriftung"/>
      </w:pPr>
      <w:r>
        <w:t xml:space="preserve">Tabelle</w:t>
      </w:r>
      <w:r>
        <w:t xml:space="preserve"> </w:t>
      </w:r>
      <w:fldSimple w:instr=" SEQ Tabelle \* ARABIC ">
        <w:r>
          <w:t>1</w:t>
        </w:r>
      </w:fldSimple>
      <w:r>
        <w:t xml:space="preserve">: GenderCodeEnum – Zulässige Werte</w:t>
      </w:r>
    </w:p>
    <w:bookmarkEnd w:id="78"/>
    <w:bookmarkEnd w:id="79"/>
    <w:bookmarkStart w:id="87" w:name="klasse-occupation"/>
    <w:p>
      <w:pPr>
        <w:pStyle w:val="berschrift2"/>
      </w:pPr>
      <w:r>
        <w:t xml:space="preserve">Klasse: Occupation</w:t>
      </w:r>
      <w:r>
        <w:t xml:space="preserve"> </w:t>
      </w:r>
      <w:bookmarkStart w:id="80" w:name="Occupation"/>
      <w:bookmarkEnd w:id="80"/>
    </w:p>
    <w:p>
      <w:pPr>
        <w:pStyle w:val="FirstParagraph"/>
      </w:pPr>
      <w:r>
        <w:rPr>
          <w:i/>
          <w:iCs/>
        </w:rPr>
        <w:t xml:space="preserve">Beruf oder Tätigkeit einer Person mit Angabe eines Labels, eines ISCO-19 Codes, ob die Tätigkeit bezahlt ist, und der zeitlichen Gültigkeit.</w:t>
      </w:r>
    </w:p>
    <w:bookmarkStart w:id="8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der Organisation oder des Unternehmens mit der Sprache, in der er publiziert wird. Zweisprachige Register führen den Namen in beiden Sprachen; erfasst wird pro Sprache ein Eintrag.</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Occupation – Attribute</w:t>
      </w:r>
    </w:p>
    <w:bookmarkStart w:id="8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r>
        <w:t xml:space="preserve">occupation_code</w:t>
      </w:r>
    </w:p>
    <w:p>
      <w:pPr>
        <w:pStyle w:val="Compact"/>
        <w:numPr>
          <w:ilvl w:val="0"/>
          <w:numId w:val="1007"/>
        </w:numPr>
      </w:pPr>
      <w:r>
        <w:t xml:space="preserve">label</w:t>
      </w:r>
    </w:p>
    <w:bookmarkEnd w:id="81"/>
    <w:bookmarkEnd w:id="82"/>
    <w:bookmarkStart w:id="83" w:name="verwendungen-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p>
      <w:pPr>
        <w:pStyle w:val="Beschriftung"/>
      </w:pPr>
      <w:r>
        <w:t xml:space="preserve">Tabelle</w:t>
      </w:r>
      <w:r>
        <w:t xml:space="preserve"> </w:t>
      </w:r>
      <w:fldSimple w:instr=" SEQ Tabelle \* ARABIC ">
        <w:r>
          <w:t>1</w:t>
        </w:r>
      </w:fldSimple>
      <w:r>
        <w:t xml:space="preserve">: Occupation – Verwendungen</w:t>
      </w:r>
    </w:p>
    <w:bookmarkEnd w:id="83"/>
    <w:bookmarkStart w:id="86" w:name="beispiele-1"/>
    <w:p>
      <w:pPr>
        <w:pStyle w:val="berschrift3"/>
      </w:pPr>
      <w:r>
        <w:t xml:space="preserve">Beispiele</w:t>
      </w:r>
    </w:p>
    <w:bookmarkStart w:id="84"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4"/>
    <w:bookmarkStart w:id="85"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5"/>
    <w:bookmarkEnd w:id="86"/>
    <w:bookmarkEnd w:id="87"/>
    <w:bookmarkStart w:id="92" w:name="klasse-training"/>
    <w:p>
      <w:pPr>
        <w:pStyle w:val="berschrift2"/>
      </w:pPr>
      <w:r>
        <w:t xml:space="preserve">Klasse: Training</w:t>
      </w:r>
      <w:r>
        <w:t xml:space="preserve"> </w:t>
      </w:r>
      <w:bookmarkStart w:id="88" w:name="Training"/>
      <w:bookmarkEnd w:id="88"/>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90"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Training – Attribute</w:t>
      </w:r>
    </w:p>
    <w:bookmarkStart w:id="89"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8"/>
        </w:numPr>
      </w:pPr>
      <w:r>
        <w:t xml:space="preserve">training_type</w:t>
      </w:r>
    </w:p>
    <w:p>
      <w:pPr>
        <w:pStyle w:val="Compact"/>
        <w:numPr>
          <w:ilvl w:val="0"/>
          <w:numId w:val="1008"/>
        </w:numPr>
      </w:pPr>
      <w:r>
        <w:t xml:space="preserve">training_code</w:t>
      </w:r>
    </w:p>
    <w:p>
      <w:pPr>
        <w:pStyle w:val="Compact"/>
        <w:numPr>
          <w:ilvl w:val="0"/>
          <w:numId w:val="1008"/>
        </w:numPr>
      </w:pPr>
      <w:r>
        <w:t xml:space="preserve">value</w:t>
      </w:r>
    </w:p>
    <w:bookmarkEnd w:id="89"/>
    <w:bookmarkEnd w:id="90"/>
    <w:bookmarkStart w:id="91" w:name="verwendungen-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p>
      <w:pPr>
        <w:pStyle w:val="Beschriftung"/>
      </w:pPr>
      <w:r>
        <w:t xml:space="preserve">Tabelle</w:t>
      </w:r>
      <w:r>
        <w:t xml:space="preserve"> </w:t>
      </w:r>
      <w:fldSimple w:instr=" SEQ Tabelle \* ARABIC ">
        <w:r>
          <w:t>1</w:t>
        </w:r>
      </w:fldSimple>
      <w:r>
        <w:t xml:space="preserve">: Training – Verwendungen</w:t>
      </w:r>
    </w:p>
    <w:bookmarkEnd w:id="91"/>
    <w:bookmarkEnd w:id="92"/>
    <w:bookmarkStart w:id="138" w:name="enum-trainingtypeenum"/>
    <w:p>
      <w:pPr>
        <w:pStyle w:val="berschrift2"/>
      </w:pPr>
      <w:r>
        <w:t xml:space="preserve">Enum: TrainingTypeEnum</w:t>
      </w:r>
      <w:r>
        <w:t xml:space="preserve"> </w:t>
      </w:r>
      <w:bookmarkStart w:id="93" w:name="TrainingTypeEnum"/>
      <w:bookmarkEnd w:id="93"/>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94">
        <w:r>
          <w:rPr>
            <w:rStyle w:val="Hyperlink"/>
          </w:rPr>
          <w:t xml:space="preserve">act:TrainingTypeEnum</w:t>
        </w:r>
      </w:hyperlink>
    </w:p>
    <w:bookmarkStart w:id="137"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95">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96">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97">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98">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99">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100">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101">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102">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103">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104">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105">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106">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107">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108">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109">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110">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111">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112">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13">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14">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15">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16">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17">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18">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19">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20">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21">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22">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23">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24">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25">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26">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27">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28">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29">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30">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31">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32">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33">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34">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35">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36">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p>
      <w:pPr>
        <w:pStyle w:val="Beschriftung"/>
      </w:pPr>
      <w:r>
        <w:t xml:space="preserve">Tabelle</w:t>
      </w:r>
      <w:r>
        <w:t xml:space="preserve"> </w:t>
      </w:r>
      <w:fldSimple w:instr=" SEQ Tabelle \* ARABIC ">
        <w:r>
          <w:t>1</w:t>
        </w:r>
      </w:fldSimple>
      <w:r>
        <w:t xml:space="preserve">: TrainingTypeEnum – Zulässige Werte</w:t>
      </w:r>
    </w:p>
    <w:bookmarkEnd w:id="137"/>
    <w:p>
      <w:r>
        <w:br w:type="page"/>
      </w:r>
    </w:p>
    <w:bookmarkEnd w:id="138"/>
    <w:bookmarkEnd w:id="139"/>
    <w:bookmarkStart w:id="186"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9"/>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9"/>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9"/>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54" w:name="klasse-group"/>
    <w:p>
      <w:pPr>
        <w:pStyle w:val="berschrift2"/>
      </w:pPr>
      <w:r>
        <w:t xml:space="preserve">Klasse: Group</w:t>
      </w:r>
      <w:r>
        <w:t xml:space="preserve"> </w:t>
      </w:r>
      <w:bookmarkStart w:id="140" w:name="Group"/>
      <w:bookmarkEnd w:id="140"/>
    </w:p>
    <w:p>
      <w:pPr>
        <w:pStyle w:val="FirstParagraph"/>
      </w:pPr>
      <w:r>
        <w:rPr>
          <w:i/>
          <w:iCs/>
        </w:rPr>
        <w:t xml:space="preserve">Eine politische Gruppe, Organisation oder Körperschaft (z.B. Partei, Kommission, Parlament, Departement).</w:t>
      </w:r>
    </w:p>
    <w:bookmarkStart w:id="141"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Group – Attribute</w:t>
      </w:r>
    </w:p>
    <w:bookmarkEnd w:id="141"/>
    <w:bookmarkStart w:id="142" w:name="verwendungen-7"/>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p>
      <w:pPr>
        <w:pStyle w:val="Beschriftung"/>
      </w:pPr>
      <w:r>
        <w:t xml:space="preserve">Tabelle</w:t>
      </w:r>
      <w:r>
        <w:t xml:space="preserve"> </w:t>
      </w:r>
      <w:fldSimple w:instr=" SEQ Tabelle \* ARABIC ">
        <w:r>
          <w:t>1</w:t>
        </w:r>
      </w:fldSimple>
      <w:r>
        <w:t xml:space="preserve">: Group – Verwendungen</w:t>
      </w:r>
    </w:p>
    <w:bookmarkEnd w:id="142"/>
    <w:bookmarkStart w:id="153" w:name="beispiele-2"/>
    <w:p>
      <w:pPr>
        <w:pStyle w:val="berschrift3"/>
      </w:pPr>
      <w:r>
        <w:t xml:space="preserve">Beispiele</w:t>
      </w:r>
    </w:p>
    <w:bookmarkStart w:id="143"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3"/>
    <w:bookmarkStart w:id="144"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4"/>
    <w:bookmarkStart w:id="145"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5"/>
    <w:bookmarkStart w:id="146"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6"/>
    <w:bookmarkStart w:id="147"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7"/>
    <w:bookmarkStart w:id="148"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8"/>
    <w:bookmarkStart w:id="149"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9"/>
    <w:bookmarkStart w:id="150"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50"/>
    <w:bookmarkStart w:id="151"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51"/>
    <w:bookmarkStart w:id="152"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52"/>
    <w:bookmarkEnd w:id="153"/>
    <w:bookmarkEnd w:id="154"/>
    <w:bookmarkStart w:id="158" w:name="klasse-grouptype"/>
    <w:p>
      <w:pPr>
        <w:pStyle w:val="berschrift2"/>
      </w:pPr>
      <w:r>
        <w:t xml:space="preserve">Klasse: GroupType</w:t>
      </w:r>
      <w:r>
        <w:t xml:space="preserve"> </w:t>
      </w:r>
      <w:bookmarkStart w:id="155" w:name="GroupType"/>
      <w:bookmarkEnd w:id="155"/>
    </w:p>
    <w:p>
      <w:pPr>
        <w:pStyle w:val="FirstParagraph"/>
      </w:pPr>
      <w:r>
        <w:rPr>
          <w:i/>
          <w:iCs/>
        </w:rPr>
        <w:t xml:space="preserve">Art der Gruppe (z.B. Partei, Kommission, Parlament, Departement).</w:t>
      </w:r>
    </w:p>
    <w:bookmarkStart w:id="156"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p>
      <w:pPr>
        <w:pStyle w:val="Beschriftung"/>
      </w:pPr>
      <w:r>
        <w:t xml:space="preserve">Tabelle</w:t>
      </w:r>
      <w:r>
        <w:t xml:space="preserve"> </w:t>
      </w:r>
      <w:fldSimple w:instr=" SEQ Tabelle \* ARABIC ">
        <w:r>
          <w:t>1</w:t>
        </w:r>
      </w:fldSimple>
      <w:r>
        <w:t xml:space="preserve">: GroupType – Attribute</w:t>
      </w:r>
    </w:p>
    <w:bookmarkEnd w:id="156"/>
    <w:bookmarkStart w:id="157" w:name="verwendungen-8"/>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p>
      <w:pPr>
        <w:pStyle w:val="Beschriftung"/>
      </w:pPr>
      <w:r>
        <w:t xml:space="preserve">Tabelle</w:t>
      </w:r>
      <w:r>
        <w:t xml:space="preserve"> </w:t>
      </w:r>
      <w:fldSimple w:instr=" SEQ Tabelle \* ARABIC ">
        <w:r>
          <w:t>1</w:t>
        </w:r>
      </w:fldSimple>
      <w:r>
        <w:t xml:space="preserve">: GroupType – Verwendungen</w:t>
      </w:r>
    </w:p>
    <w:bookmarkEnd w:id="157"/>
    <w:bookmarkEnd w:id="158"/>
    <w:bookmarkStart w:id="185" w:name="enum-grouptypeenum"/>
    <w:p>
      <w:pPr>
        <w:pStyle w:val="berschrift2"/>
      </w:pPr>
      <w:r>
        <w:t xml:space="preserve">Enum: GroupTypeEnum</w:t>
      </w:r>
      <w:r>
        <w:t xml:space="preserve"> </w:t>
      </w:r>
      <w:bookmarkStart w:id="159" w:name="GroupTypeEnum"/>
      <w:bookmarkEnd w:id="159"/>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60">
        <w:r>
          <w:rPr>
            <w:rStyle w:val="Hyperlink"/>
          </w:rPr>
          <w:t xml:space="preserve">act:GroupTypeEnum</w:t>
        </w:r>
      </w:hyperlink>
    </w:p>
    <w:bookmarkStart w:id="184"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6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6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6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6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6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67">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68">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69">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70">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71">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7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7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74">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75">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76">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77">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78">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7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8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8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8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83">
              <w:r>
                <w:rPr>
                  <w:rStyle w:val="Hyperlink"/>
                </w:rPr>
                <w:t xml:space="preserve">act:enum/group_type/other</w:t>
              </w:r>
            </w:hyperlink>
          </w:p>
        </w:tc>
      </w:tr>
    </w:tbl>
    <w:p>
      <w:pPr>
        <w:pStyle w:val="Beschriftung"/>
      </w:pPr>
      <w:r>
        <w:t xml:space="preserve">Tabelle</w:t>
      </w:r>
      <w:r>
        <w:t xml:space="preserve"> </w:t>
      </w:r>
      <w:fldSimple w:instr=" SEQ Tabelle \* ARABIC ">
        <w:r>
          <w:t>1</w:t>
        </w:r>
      </w:fldSimple>
      <w:r>
        <w:t xml:space="preserve">: GroupTypeEnum – Zulässige Werte</w:t>
      </w:r>
    </w:p>
    <w:bookmarkEnd w:id="184"/>
    <w:p>
      <w:r>
        <w:br w:type="page"/>
      </w:r>
    </w:p>
    <w:bookmarkEnd w:id="185"/>
    <w:bookmarkEnd w:id="186"/>
    <w:bookmarkStart w:id="21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10"/>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10"/>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10"/>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10"/>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10"/>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10"/>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99" w:name="klasse-membership"/>
    <w:p>
      <w:pPr>
        <w:pStyle w:val="berschrift2"/>
      </w:pPr>
      <w:r>
        <w:t xml:space="preserve">Klasse: Membership</w:t>
      </w:r>
      <w:r>
        <w:t xml:space="preserve"> </w:t>
      </w:r>
      <w:bookmarkStart w:id="187" w:name="Membership"/>
      <w:bookmarkEnd w:id="187"/>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88"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Membership – Attribute</w:t>
      </w:r>
    </w:p>
    <w:bookmarkEnd w:id="188"/>
    <w:bookmarkStart w:id="189" w:name="verwendungen-9"/>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p>
      <w:pPr>
        <w:pStyle w:val="Beschriftung"/>
      </w:pPr>
      <w:r>
        <w:t xml:space="preserve">Tabelle</w:t>
      </w:r>
      <w:r>
        <w:t xml:space="preserve"> </w:t>
      </w:r>
      <w:fldSimple w:instr=" SEQ Tabelle \* ARABIC ">
        <w:r>
          <w:t>1</w:t>
        </w:r>
      </w:fldSimple>
      <w:r>
        <w:t xml:space="preserve">: Membership – Verwendungen</w:t>
      </w:r>
    </w:p>
    <w:bookmarkEnd w:id="189"/>
    <w:bookmarkStart w:id="198" w:name="beispiele-3"/>
    <w:p>
      <w:pPr>
        <w:pStyle w:val="berschrift3"/>
      </w:pPr>
      <w:r>
        <w:t xml:space="preserve">Beispiele</w:t>
      </w:r>
    </w:p>
    <w:bookmarkStart w:id="190"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Start w:id="195"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5"/>
    <w:bookmarkStart w:id="196"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6"/>
    <w:bookmarkStart w:id="197"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7"/>
    <w:bookmarkEnd w:id="198"/>
    <w:bookmarkEnd w:id="199"/>
    <w:bookmarkStart w:id="205" w:name="klasse-roletype"/>
    <w:p>
      <w:pPr>
        <w:pStyle w:val="berschrift2"/>
      </w:pPr>
      <w:r>
        <w:t xml:space="preserve">Klasse: RoleType</w:t>
      </w:r>
      <w:r>
        <w:t xml:space="preserve"> </w:t>
      </w:r>
      <w:bookmarkStart w:id="200" w:name="RoleType"/>
      <w:bookmarkEnd w:id="200"/>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202"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p>
      <w:pPr>
        <w:pStyle w:val="Beschriftung"/>
      </w:pPr>
      <w:r>
        <w:t xml:space="preserve">Tabelle</w:t>
      </w:r>
      <w:r>
        <w:t xml:space="preserve"> </w:t>
      </w:r>
      <w:fldSimple w:instr=" SEQ Tabelle \* ARABIC ">
        <w:r>
          <w:t>1</w:t>
        </w:r>
      </w:fldSimple>
      <w:r>
        <w:t xml:space="preserve">: RoleType – Attribute</w:t>
      </w:r>
    </w:p>
    <w:bookmarkStart w:id="201"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1"/>
        </w:numPr>
      </w:pPr>
      <w:r>
        <w:t xml:space="preserve">role_type_enum</w:t>
      </w:r>
    </w:p>
    <w:p>
      <w:pPr>
        <w:pStyle w:val="Compact"/>
        <w:numPr>
          <w:ilvl w:val="0"/>
          <w:numId w:val="1011"/>
        </w:numPr>
      </w:pPr>
      <w:r>
        <w:t xml:space="preserve">role_label</w:t>
      </w:r>
    </w:p>
    <w:bookmarkEnd w:id="201"/>
    <w:bookmarkEnd w:id="202"/>
    <w:bookmarkStart w:id="204"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p>
      <w:pPr>
        <w:pStyle w:val="Beschriftung"/>
      </w:pPr>
      <w:r>
        <w:t xml:space="preserve">Tabelle</w:t>
      </w:r>
      <w:r>
        <w:t xml:space="preserve"> </w:t>
      </w:r>
      <w:fldSimple w:instr=" SEQ Tabelle \* ARABIC ">
        <w:r>
          <w:t>1</w:t>
        </w:r>
      </w:fldSimple>
      <w:r>
        <w:t xml:space="preserve">: RoleType – Verwendungen</w:t>
      </w:r>
    </w:p>
    <w:bookmarkStart w:id="203" w:name="regeln"/>
    <w:p>
      <w:pPr>
        <w:pStyle w:val="berschrift5"/>
      </w:pPr>
      <w:r>
        <w:t xml:space="preserve">Regeln</w:t>
      </w:r>
    </w:p>
    <w:p>
      <w:pPr>
        <w:pStyle w:val="Compact"/>
        <w:numPr>
          <w:ilvl w:val="0"/>
          <w:numId w:val="1012"/>
        </w:numPr>
      </w:pPr>
      <w:r>
        <w:t xml:space="preserve">Wenn der Rollentyp</w:t>
      </w:r>
      <w:r>
        <w:t xml:space="preserve"> </w:t>
      </w:r>
      <w:r>
        <w:t xml:space="preserve">‘other’</w:t>
      </w:r>
      <w:r>
        <w:t xml:space="preserve"> </w:t>
      </w:r>
      <w:r>
        <w:t xml:space="preserve">ist, muss eine beschreibende Bezeichnung angegeben werden.</w:t>
      </w:r>
    </w:p>
    <w:bookmarkEnd w:id="203"/>
    <w:bookmarkEnd w:id="204"/>
    <w:bookmarkEnd w:id="205"/>
    <w:bookmarkStart w:id="209" w:name="enum-roleenum"/>
    <w:p>
      <w:pPr>
        <w:pStyle w:val="berschrift2"/>
      </w:pPr>
      <w:r>
        <w:t xml:space="preserve">Enum: RoleEnum</w:t>
      </w:r>
      <w:r>
        <w:t xml:space="preserve"> </w:t>
      </w:r>
      <w:bookmarkStart w:id="206" w:name="RoleEnum"/>
      <w:bookmarkEnd w:id="206"/>
    </w:p>
    <w:p>
      <w:pPr>
        <w:pStyle w:val="FirstParagraph"/>
      </w:pPr>
      <w:r>
        <w:rPr>
          <w:i/>
          <w:iCs/>
        </w:rPr>
        <w:t xml:space="preserve">Rollen, die eine Person im Rahmen einer Mitgliedschaft haben kann.</w:t>
      </w:r>
    </w:p>
    <w:p>
      <w:pPr>
        <w:pStyle w:val="Textkrper"/>
      </w:pPr>
      <w:r>
        <w:t xml:space="preserve">URI:</w:t>
      </w:r>
      <w:r>
        <w:t xml:space="preserve"> </w:t>
      </w:r>
      <w:hyperlink ns1:id="rId207">
        <w:r>
          <w:rPr>
            <w:rStyle w:val="Hyperlink"/>
          </w:rPr>
          <w:t xml:space="preserve">act:RoleEnum</w:t>
        </w:r>
      </w:hyperlink>
    </w:p>
    <w:bookmarkStart w:id="208"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p>
      <w:pPr>
        <w:pStyle w:val="Beschriftung"/>
      </w:pPr>
      <w:r>
        <w:t xml:space="preserve">Tabelle</w:t>
      </w:r>
      <w:r>
        <w:t xml:space="preserve"> </w:t>
      </w:r>
      <w:fldSimple w:instr=" SEQ Tabelle \* ARABIC ">
        <w:r>
          <w:t>1</w:t>
        </w:r>
      </w:fldSimple>
      <w:r>
        <w:t xml:space="preserve">: RoleEnum – Zulässige Werte</w:t>
      </w:r>
    </w:p>
    <w:bookmarkEnd w:id="208"/>
    <w:bookmarkEnd w:id="209"/>
    <w:bookmarkStart w:id="216" w:name="klasse-electoraldistrict"/>
    <w:p>
      <w:pPr>
        <w:pStyle w:val="berschrift2"/>
      </w:pPr>
      <w:r>
        <w:t xml:space="preserve">Klasse: ElectoralDistrict</w:t>
      </w:r>
      <w:r>
        <w:t xml:space="preserve"> </w:t>
      </w:r>
      <w:bookmarkStart w:id="210" w:name="ElectoralDistrict"/>
      <w:bookmarkEnd w:id="210"/>
    </w:p>
    <w:p>
      <w:pPr>
        <w:pStyle w:val="FirstParagraph"/>
      </w:pPr>
      <w:r>
        <w:rPr>
          <w:i/>
          <w:iCs/>
        </w:rPr>
        <w:t xml:space="preserve">Wahlkreis oder Wahlregion, die einer Mitgliedschaft zugeordnet ist. Die zeitliche Gültigkeit wird von der umschliessenden Mitgliedschaft übernommen.</w:t>
      </w:r>
    </w:p>
    <w:bookmarkStart w:id="21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p>
      <w:pPr>
        <w:pStyle w:val="Beschriftung"/>
      </w:pPr>
      <w:r>
        <w:t xml:space="preserve">Tabelle</w:t>
      </w:r>
      <w:r>
        <w:t xml:space="preserve"> </w:t>
      </w:r>
      <w:fldSimple w:instr=" SEQ Tabelle \* ARABIC ">
        <w:r>
          <w:t>1</w:t>
        </w:r>
      </w:fldSimple>
      <w:r>
        <w:t xml:space="preserve">: ElectoralDistrict – Attribute</w:t>
      </w:r>
    </w:p>
    <w:bookmarkEnd w:id="211"/>
    <w:bookmarkStart w:id="21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p>
      <w:pPr>
        <w:pStyle w:val="Beschriftung"/>
      </w:pPr>
      <w:r>
        <w:t xml:space="preserve">Tabelle</w:t>
      </w:r>
      <w:r>
        <w:t xml:space="preserve"> </w:t>
      </w:r>
      <w:fldSimple w:instr=" SEQ Tabelle \* ARABIC ">
        <w:r>
          <w:t>1</w:t>
        </w:r>
      </w:fldSimple>
      <w:r>
        <w:t xml:space="preserve">: ElectoralDistrict – Verwendungen</w:t>
      </w:r>
    </w:p>
    <w:bookmarkEnd w:id="212"/>
    <w:bookmarkStart w:id="215" w:name="beispiele-4"/>
    <w:p>
      <w:pPr>
        <w:pStyle w:val="berschrift3"/>
      </w:pPr>
      <w:r>
        <w:t xml:space="preserve">Beispiele</w:t>
      </w:r>
    </w:p>
    <w:bookmarkStart w:id="213"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3"/>
    <w:bookmarkStart w:id="214"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4"/>
    <w:bookmarkEnd w:id="215"/>
    <w:p>
      <w:r>
        <w:br w:type="page"/>
      </w:r>
    </w:p>
    <w:bookmarkEnd w:id="216"/>
    <w:bookmarkEnd w:id="217"/>
    <w:bookmarkStart w:id="286"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218">
        <w:r>
          <w:rPr>
            <w:rStyle w:val="Hyperlink"/>
          </w:rPr>
          <w:t xml:space="preserve">Bundesversammlung – Interessenbindungen</w:t>
        </w:r>
      </w:hyperlink>
      <w:r>
        <w:t xml:space="preserve">.</w:t>
      </w:r>
    </w:p>
    <w:p>
      <w:pPr>
        <w:pStyle w:val="Compact"/>
        <w:numPr>
          <w:ilvl w:val="0"/>
          <w:numId w:val="1013"/>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3"/>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und „Ausübung politischer Ämter in Bund, Kanton und Gemeinden (ausgenommen Landratsmandat)” (Basel-Landschaft) beide zu</w:t>
      </w:r>
      <w:r>
        <w:t xml:space="preserve"> </w:t>
      </w:r>
      <w:r>
        <w:rPr>
          <w:rStyle w:val="VerbatimChar"/>
        </w:rPr>
        <w:t xml:space="preserve">public_mandate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3"/>
        </w:numPr>
      </w:pPr>
      <w:r>
        <w:rPr>
          <w:b/>
          <w:bCs/>
        </w:rPr>
        <w:t xml:space="preserve">Ein Wert für die öffentliche Hand (</w:t>
      </w:r>
      <w:r>
        <w:rPr>
          <w:rStyle w:val="VerbatimChar"/>
          <w:b/>
          <w:bCs/>
        </w:rPr>
        <w:t xml:space="preserve">public_mandate</w:t>
      </w:r>
      <w:r>
        <w:rPr>
          <w:b/>
          <w:bCs/>
        </w:rPr>
        <w:t xml:space="preserve">):</w:t>
      </w:r>
      <w:r>
        <w:t xml:space="preserve"> </w:t>
      </w:r>
      <w:r>
        <w:t xml:space="preserve">Amt in einer Behörde und Sitz in einer staatlichen Kommission bleiben bewusst in einem Wert. Von 24 auswertbaren Registern führen nur vier beide Kategorien getrennt (Freiburg, Neuenburg, Stadt Bern und eine Waadtländer Gemeinde); sieben kennen nur „politische Ämter”, dreizehn nur „Kommissionen und andere Organe” — welche der beiden, ist Zufall der kantonalen Vorlage. Eine Zweiteilung müsste beim Übernehmen also geraten werden, und geraten wird in jedem Kanton anders.</w:t>
      </w:r>
    </w:p>
    <w:p>
      <w:pPr>
        <w:pStyle w:val="Compact"/>
        <w:numPr>
          <w:ilvl w:val="0"/>
          <w:numId w:val="1013"/>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3"/>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3"/>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3"/>
        </w:numPr>
      </w:pPr>
      <w:r>
        <w:rPr>
          <w:b/>
          <w:bCs/>
        </w:rPr>
        <w:t xml:space="preserve">Zweisprachige Register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Freiburg, Wallis und Bern publizieren Organisationsname, Gremium und Funktion in zwei Sprachen — in der Sammlung von openparldata.ch betrifft das rund 5000 der knapp 30 000 Einträge. Die drei Angaben sind deshalb wie die Gruppenbezeichnung mehrsprachig geführt: ein Eintrag je publizierter Sprache, ohne dass etwas übersetzt wird.</w:t>
      </w:r>
    </w:p>
    <w:p>
      <w:pPr>
        <w:pStyle w:val="Compact"/>
        <w:numPr>
          <w:ilvl w:val="0"/>
          <w:numId w:val="1013"/>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3"/>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33" w:name="klasse-interestlink"/>
    <w:p>
      <w:pPr>
        <w:pStyle w:val="berschrift2"/>
      </w:pPr>
      <w:r>
        <w:t xml:space="preserve">Klasse: InterestLink</w:t>
      </w:r>
      <w:r>
        <w:t xml:space="preserve"> </w:t>
      </w:r>
      <w:bookmarkStart w:id="219" w:name="InterestLink"/>
      <w:bookmarkEnd w:id="219"/>
    </w:p>
    <w:p>
      <w:pPr>
        <w:pStyle w:val="FirstParagraph"/>
      </w:pPr>
      <w:r>
        <w:rPr>
          <w:i/>
          <w:iCs/>
        </w:rPr>
        <w:t xml:space="preserve">Eine Interessenbindung (Interessenkonflikt, Politikfinanzierung) einer Person zu einer Organisation ausserhalb des Akteur-Schemas.</w:t>
      </w:r>
    </w:p>
    <w:bookmarkStart w:id="221"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den Kategorien der Offenlegungsregister folgend (berufliche Tätigkeit, Sitz in einem Führungsgremium, Mandat für eine Interessengruppe, Amt in der öffentlichen Hand, Mitgliedschaft).</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der Organisation oder des Unternehmens mit der Sprache, in der er publiziert wird. Zweisprachige Register führen den Namen in beiden Sprachen; erfasst wird pro Sprache ein Eintrag.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Gremium innerhalb der Organisation (z.B. Verwaltungsrat, Stiftungsrat, Vorstand, Aufsichtsrat, Beirat, Geschäftsleitung) mit der Sprache, in der es publiziert wird; erfasst wird pro Sprache ein Eintrag.</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Funktion oder Rolle in der Organisation (z.B. Präsident/in, Vizepräsident/in, Mitglied, Delegierter, Geschäftsführer/in, Berater/in) mit der Sprache, in der sie publiziert wird; erfasst wird pro Sprache ein Eintrag.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InterestLink – Attribute</w:t>
      </w:r>
    </w:p>
    <w:bookmarkStart w:id="220"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4"/>
        </w:numPr>
      </w:pPr>
      <w:r>
        <w:t xml:space="preserve">organization_uid</w:t>
      </w:r>
    </w:p>
    <w:p>
      <w:pPr>
        <w:pStyle w:val="Compact"/>
        <w:numPr>
          <w:ilvl w:val="0"/>
          <w:numId w:val="1014"/>
        </w:numPr>
      </w:pPr>
      <w:r>
        <w:t xml:space="preserve">organization_name</w:t>
      </w:r>
    </w:p>
    <w:bookmarkEnd w:id="220"/>
    <w:bookmarkEnd w:id="221"/>
    <w:bookmarkStart w:id="222"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p>
      <w:pPr>
        <w:pStyle w:val="Beschriftung"/>
      </w:pPr>
      <w:r>
        <w:t xml:space="preserve">Tabelle</w:t>
      </w:r>
      <w:r>
        <w:t xml:space="preserve"> </w:t>
      </w:r>
      <w:fldSimple w:instr=" SEQ Tabelle \* ARABIC ">
        <w:r>
          <w:t>1</w:t>
        </w:r>
      </w:fldSimple>
      <w:r>
        <w:t xml:space="preserve">: InterestLink – Verwendungen</w:t>
      </w:r>
    </w:p>
    <w:bookmarkEnd w:id="222"/>
    <w:bookmarkStart w:id="232" w:name="beispiele-5"/>
    <w:p>
      <w:pPr>
        <w:pStyle w:val="berschrift3"/>
      </w:pPr>
      <w:r>
        <w:t xml:space="preserve">Beispiele</w:t>
      </w:r>
    </w:p>
    <w:bookmarkStart w:id="223" w:name="Xb58b6268c931fbf01332cfe1fc07132cec763fb"/>
    <w:p>
      <w:pPr>
        <w:pStyle w:val="berschrift4"/>
      </w:pPr>
      <w:r>
        <w:t xml:space="preserve">Beispiel InterestLink: Amt in der öffentlichen Hand auf anderer föderaler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3"/>
    <w:bookmarkStart w:id="224" w:name="X3bb87562faf0376d64a9d9d54b9ea89e09aca8b"/>
    <w:p>
      <w:pPr>
        <w:pStyle w:val="berschrift4"/>
      </w:pPr>
      <w:r>
        <w:t xml:space="preserve">Beispiel InterestLink: Derselbe Wert für den Gremiensitz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5"/>
    <w:bookmarkStart w:id="226"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6"/>
    <w:bookmarkStart w:id="227"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7"/>
    <w:bookmarkStart w:id="228"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Start w:id="229"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9"/>
    <w:bookmarkStart w:id="230"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30"/>
    <w:bookmarkStart w:id="231"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1"/>
    <w:bookmarkEnd w:id="232"/>
    <w:bookmarkEnd w:id="233"/>
    <w:bookmarkStart w:id="243" w:name="enum-interesttypeenum"/>
    <w:p>
      <w:pPr>
        <w:pStyle w:val="berschrift2"/>
      </w:pPr>
      <w:r>
        <w:t xml:space="preserve">Enum: InterestTypeEnum</w:t>
      </w:r>
      <w:r>
        <w:t xml:space="preserve"> </w:t>
      </w:r>
      <w:bookmarkStart w:id="234" w:name="InterestTypeEnum"/>
      <w:bookmarkEnd w:id="234"/>
    </w:p>
    <w:p>
      <w:pPr>
        <w:pStyle w:val="FirstParagraph"/>
      </w:pPr>
      <w:r>
        <w:rPr>
          <w:i/>
          <w:iCs/>
        </w:rPr>
        <w:t xml:space="preserve">Typen von Interessenbindungen (Interessenkonflikte, Politikfinanzierung).</w:t>
      </w:r>
    </w:p>
    <w:p>
      <w:pPr>
        <w:pStyle w:val="Textkrper"/>
      </w:pPr>
      <w:r>
        <w:t xml:space="preserve">URI:</w:t>
      </w:r>
      <w:r>
        <w:t xml:space="preserve"> </w:t>
      </w:r>
      <w:hyperlink ns1:id="rId235">
        <w:r>
          <w:rPr>
            <w:rStyle w:val="Hyperlink"/>
          </w:rPr>
          <w:t xml:space="preserve">act:InterestTypeEnum</w:t>
        </w:r>
      </w:hyperlink>
    </w:p>
    <w:bookmarkStart w:id="242"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36">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37">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38">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Amt oder Gremiensitz in der öffentlichen Hand auf einer anderen föderalen Ebene oder in einer anderen Körperschaft: Sitz in einer Gemeindeexekutive oder einem Gemeindeparlament, in einer Schulpflege oder Kirchgemeinde, ebenso die Mitwirkung in einer Kommission oder einem anderen Organ des Bundes, eines Kantons, einer Gemeinde oder der interkantonalen und interkommunalen Zusammenarbeit. Die meisten Register unterscheiden die beiden Fälle nicht, deshalb führt der Standard sie in einem Wert. Das Mandat, für das offengelegt wird, gehört nie hierher; ob die Person das Mandat als Vertretung ihres eigenen Gemeinwesens wahrnimmt, sagt</w:t>
            </w:r>
            <w:r>
              <w:t xml:space="preserve"> </w:t>
            </w:r>
            <w:r>
              <w:rPr>
                <w:rStyle w:val="VerbatimChar"/>
              </w:rPr>
              <w:t xml:space="preserve">is_ex_officio</w:t>
            </w:r>
            <w:r>
              <w:t xml:space="preserve">.</w:t>
            </w:r>
          </w:p>
        </w:tc>
      </w:tr>
      <w:tr>
        <w:tc>
          <w:tcPr/>
          <w:p>
            <w:pPr>
              <w:pStyle w:val="Compact"/>
            </w:pPr>
          </w:p>
        </w:tc>
        <w:tc>
          <w:tcPr/>
          <w:p>
            <w:pPr>
              <w:pStyle w:val="Compact"/>
            </w:pPr>
            <w:hyperlink ns1:id="rId239">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40">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41">
              <w:r>
                <w:rPr>
                  <w:rStyle w:val="Hyperlink"/>
                </w:rPr>
                <w:t xml:space="preserve">act:enum/interest_type/other</w:t>
              </w:r>
            </w:hyperlink>
          </w:p>
        </w:tc>
      </w:tr>
    </w:tbl>
    <w:p>
      <w:pPr>
        <w:pStyle w:val="Beschriftung"/>
      </w:pPr>
      <w:r>
        <w:t xml:space="preserve">Tabelle</w:t>
      </w:r>
      <w:r>
        <w:t xml:space="preserve"> </w:t>
      </w:r>
      <w:fldSimple w:instr=" SEQ Tabelle \* ARABIC ">
        <w:r>
          <w:t>1</w:t>
        </w:r>
      </w:fldSimple>
      <w:r>
        <w:t xml:space="preserve">: InterestTypeEnum – Zulässige Werte</w:t>
      </w:r>
    </w:p>
    <w:bookmarkEnd w:id="242"/>
    <w:bookmarkEnd w:id="243"/>
    <w:bookmarkStart w:id="285" w:name="enum-legalformenum"/>
    <w:p>
      <w:pPr>
        <w:pStyle w:val="berschrift2"/>
      </w:pPr>
      <w:r>
        <w:t xml:space="preserve">Enum: LegalFormEnum</w:t>
      </w:r>
      <w:r>
        <w:t xml:space="preserve"> </w:t>
      </w:r>
      <w:bookmarkStart w:id="244" w:name="LegalFormEnum"/>
      <w:bookmarkEnd w:id="244"/>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45">
        <w:r>
          <w:rPr>
            <w:rStyle w:val="Hyperlink"/>
          </w:rPr>
          <w:t xml:space="preserve">act:LegalFormEnum</w:t>
        </w:r>
      </w:hyperlink>
    </w:p>
    <w:bookmarkStart w:id="284"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4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4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4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4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5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5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5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5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5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5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5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5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5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5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6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6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6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6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6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6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6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6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6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6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7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7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7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7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7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7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7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7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7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7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8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8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8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83">
              <w:r>
                <w:rPr>
                  <w:rStyle w:val="Hyperlink"/>
                </w:rPr>
                <w:t xml:space="preserve">https://register.ld.admin.ch/i14y/concept/legalForm/0571</w:t>
              </w:r>
            </w:hyperlink>
          </w:p>
        </w:tc>
      </w:tr>
    </w:tbl>
    <w:p>
      <w:pPr>
        <w:pStyle w:val="Beschriftung"/>
      </w:pPr>
      <w:r>
        <w:t xml:space="preserve">Tabelle</w:t>
      </w:r>
      <w:r>
        <w:t xml:space="preserve"> </w:t>
      </w:r>
      <w:fldSimple w:instr=" SEQ Tabelle \* ARABIC ">
        <w:r>
          <w:t>1</w:t>
        </w:r>
      </w:fldSimple>
      <w:r>
        <w:t xml:space="preserve">: LegalFormEnum – Zulässige Werte</w:t>
      </w:r>
    </w:p>
    <w:bookmarkEnd w:id="284"/>
    <w:p>
      <w:r>
        <w:br w:type="page"/>
      </w:r>
    </w:p>
    <w:bookmarkEnd w:id="285"/>
    <w:bookmarkEnd w:id="286"/>
    <w:bookmarkStart w:id="334" w:name="geteilte-elemente"/>
    <w:p>
      <w:pPr>
        <w:pStyle w:val="berschrift1"/>
      </w:pPr>
      <w:r>
        <w:t xml:space="preserve">Geteilte Elemente</w:t>
      </w:r>
    </w:p>
    <w:bookmarkStart w:id="287"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5"/>
        </w:numPr>
      </w:pPr>
      <w:r>
        <w:rPr>
          <w:b/>
          <w:bCs/>
        </w:rPr>
        <w:t xml:space="preserve">Nützliche lokale Daten</w:t>
      </w:r>
      <w:r>
        <w:t xml:space="preserve"> </w:t>
      </w:r>
      <w:r>
        <w:t xml:space="preserve">ohne aufwändige Abfragen der vollständigen Entität</w:t>
      </w:r>
    </w:p>
    <w:p>
      <w:pPr>
        <w:pStyle w:val="Compact"/>
        <w:numPr>
          <w:ilvl w:val="0"/>
          <w:numId w:val="1015"/>
        </w:numPr>
      </w:pPr>
      <w:r>
        <w:rPr>
          <w:b/>
          <w:bCs/>
        </w:rPr>
        <w:t xml:space="preserve">Keine Redundanz</w:t>
      </w:r>
      <w:r>
        <w:t xml:space="preserve">, da nicht alle Informationen bei jeder Erwähnung wiederholt werden müssen</w:t>
      </w:r>
    </w:p>
    <w:p>
      <w:pPr>
        <w:pStyle w:val="Compact"/>
        <w:numPr>
          <w:ilvl w:val="0"/>
          <w:numId w:val="1015"/>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87"/>
    <w:bookmarkStart w:id="292" w:name="klasse-personreference"/>
    <w:p>
      <w:pPr>
        <w:pStyle w:val="berschrift2"/>
      </w:pPr>
      <w:r>
        <w:t xml:space="preserve">Klasse: PersonReference</w:t>
      </w:r>
      <w:r>
        <w:t xml:space="preserve"> </w:t>
      </w:r>
      <w:bookmarkStart w:id="288" w:name="PersonReference"/>
      <w:bookmarkEnd w:id="288"/>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90"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p>
      <w:pPr>
        <w:pStyle w:val="Beschriftung"/>
      </w:pPr>
      <w:r>
        <w:t xml:space="preserve">Tabelle</w:t>
      </w:r>
      <w:r>
        <w:t xml:space="preserve"> </w:t>
      </w:r>
      <w:fldSimple w:instr=" SEQ Tabelle \* ARABIC ">
        <w:r>
          <w:t>1</w:t>
        </w:r>
      </w:fldSimple>
      <w:r>
        <w:t xml:space="preserve">: PersonReference – Attribute</w:t>
      </w:r>
    </w:p>
    <w:bookmarkStart w:id="289"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r>
        <w:t xml:space="preserve">local_id</w:t>
      </w:r>
    </w:p>
    <w:p>
      <w:pPr>
        <w:pStyle w:val="Compact"/>
        <w:numPr>
          <w:ilvl w:val="0"/>
          <w:numId w:val="1016"/>
        </w:numPr>
      </w:pPr>
      <w:r>
        <w:t xml:space="preserve">global_uri</w:t>
      </w:r>
    </w:p>
    <w:bookmarkEnd w:id="289"/>
    <w:bookmarkEnd w:id="290"/>
    <w:bookmarkStart w:id="291"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p>
      <w:pPr>
        <w:pStyle w:val="Beschriftung"/>
      </w:pPr>
      <w:r>
        <w:t xml:space="preserve">Tabelle</w:t>
      </w:r>
      <w:r>
        <w:t xml:space="preserve"> </w:t>
      </w:r>
      <w:fldSimple w:instr=" SEQ Tabelle \* ARABIC ">
        <w:r>
          <w:t>1</w:t>
        </w:r>
      </w:fldSimple>
      <w:r>
        <w:t xml:space="preserve">: PersonReference – Verwendungen</w:t>
      </w:r>
    </w:p>
    <w:bookmarkEnd w:id="291"/>
    <w:bookmarkEnd w:id="292"/>
    <w:bookmarkStart w:id="297" w:name="klasse-groupreference"/>
    <w:p>
      <w:pPr>
        <w:pStyle w:val="berschrift2"/>
      </w:pPr>
      <w:r>
        <w:t xml:space="preserve">Klasse: GroupReference</w:t>
      </w:r>
      <w:r>
        <w:t xml:space="preserve"> </w:t>
      </w:r>
      <w:bookmarkStart w:id="293" w:name="GroupReference"/>
      <w:bookmarkEnd w:id="293"/>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95"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p>
      <w:pPr>
        <w:pStyle w:val="Beschriftung"/>
      </w:pPr>
      <w:r>
        <w:t xml:space="preserve">Tabelle</w:t>
      </w:r>
      <w:r>
        <w:t xml:space="preserve"> </w:t>
      </w:r>
      <w:fldSimple w:instr=" SEQ Tabelle \* ARABIC ">
        <w:r>
          <w:t>1</w:t>
        </w:r>
      </w:fldSimple>
      <w:r>
        <w:t xml:space="preserve">: GroupReference – Attribute</w:t>
      </w:r>
    </w:p>
    <w:bookmarkStart w:id="294"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r>
        <w:t xml:space="preserve">local_id</w:t>
      </w:r>
    </w:p>
    <w:p>
      <w:pPr>
        <w:pStyle w:val="Compact"/>
        <w:numPr>
          <w:ilvl w:val="0"/>
          <w:numId w:val="1017"/>
        </w:numPr>
      </w:pPr>
      <w:r>
        <w:t xml:space="preserve">global_uri</w:t>
      </w:r>
    </w:p>
    <w:bookmarkEnd w:id="294"/>
    <w:bookmarkEnd w:id="295"/>
    <w:bookmarkStart w:id="296"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p>
      <w:pPr>
        <w:pStyle w:val="Beschriftung"/>
      </w:pPr>
      <w:r>
        <w:t xml:space="preserve">Tabelle</w:t>
      </w:r>
      <w:r>
        <w:t xml:space="preserve"> </w:t>
      </w:r>
      <w:fldSimple w:instr=" SEQ Tabelle \* ARABIC ">
        <w:r>
          <w:t>1</w:t>
        </w:r>
      </w:fldSimple>
      <w:r>
        <w:t xml:space="preserve">: GroupReference – Verwendungen</w:t>
      </w:r>
    </w:p>
    <w:bookmarkEnd w:id="296"/>
    <w:bookmarkEnd w:id="297"/>
    <w:bookmarkStart w:id="300"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98">
        <w:r>
          <w:rPr>
            <w:rStyle w:val="Hyperlink"/>
          </w:rPr>
          <w:t xml:space="preserve">Such-API von geo.admin.ch</w:t>
        </w:r>
      </w:hyperlink>
      <w:r>
        <w:t xml:space="preserve"> </w:t>
      </w:r>
      <w:r>
        <w:t xml:space="preserve">benutzen oder mit dem</w:t>
      </w:r>
      <w:r>
        <w:t xml:space="preserve"> </w:t>
      </w:r>
      <w:hyperlink ns1:id="rId299">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300"/>
    <w:bookmarkStart w:id="308" w:name="klasse-address"/>
    <w:p>
      <w:pPr>
        <w:pStyle w:val="berschrift2"/>
      </w:pPr>
      <w:r>
        <w:t xml:space="preserve">Klasse: Address</w:t>
      </w:r>
      <w:r>
        <w:t xml:space="preserve"> </w:t>
      </w:r>
      <w:bookmarkStart w:id="301" w:name="Address"/>
      <w:bookmarkEnd w:id="301"/>
    </w:p>
    <w:p>
      <w:pPr>
        <w:pStyle w:val="FirstParagraph"/>
      </w:pPr>
      <w:r>
        <w:rPr>
          <w:i/>
          <w:iCs/>
        </w:rPr>
        <w:t xml:space="preserve">Eine Adresse mit einem Typ (z.B. Privatadresse, Geschäftsadresse) und einem Wert.</w:t>
      </w:r>
    </w:p>
    <w:bookmarkStart w:id="30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Ländercode.</w:t>
            </w:r>
          </w:p>
        </w:tc>
      </w:tr>
    </w:tbl>
    <w:p>
      <w:pPr>
        <w:pStyle w:val="Beschriftung"/>
      </w:pPr>
      <w:r>
        <w:t xml:space="preserve">Tabelle</w:t>
      </w:r>
      <w:r>
        <w:t xml:space="preserve"> </w:t>
      </w:r>
      <w:fldSimple w:instr=" SEQ Tabelle \* ARABIC ">
        <w:r>
          <w:t>1</w:t>
        </w:r>
      </w:fldSimple>
      <w:r>
        <w:t xml:space="preserve">: Address – Attribute</w:t>
      </w:r>
    </w:p>
    <w:bookmarkStart w:id="302"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8"/>
        </w:numPr>
      </w:pPr>
      <w:r>
        <w:t xml:space="preserve">postal_locality</w:t>
      </w:r>
    </w:p>
    <w:p>
      <w:pPr>
        <w:pStyle w:val="Compact"/>
        <w:numPr>
          <w:ilvl w:val="0"/>
          <w:numId w:val="1018"/>
        </w:numPr>
      </w:pPr>
      <w:r>
        <w:t xml:space="preserve">address_uri</w:t>
      </w:r>
    </w:p>
    <w:bookmarkEnd w:id="302"/>
    <w:bookmarkEnd w:id="303"/>
    <w:bookmarkStart w:id="304" w:name="verwendungen-1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p>
      <w:pPr>
        <w:pStyle w:val="Beschriftung"/>
      </w:pPr>
      <w:r>
        <w:t xml:space="preserve">Tabelle</w:t>
      </w:r>
      <w:r>
        <w:t xml:space="preserve"> </w:t>
      </w:r>
      <w:fldSimple w:instr=" SEQ Tabelle \* ARABIC ">
        <w:r>
          <w:t>1</w:t>
        </w:r>
      </w:fldSimple>
      <w:r>
        <w:t xml:space="preserve">: Address – Verwendungen</w:t>
      </w:r>
    </w:p>
    <w:bookmarkEnd w:id="304"/>
    <w:bookmarkStart w:id="307" w:name="beispiele-6"/>
    <w:p>
      <w:pPr>
        <w:pStyle w:val="berschrift3"/>
      </w:pPr>
      <w:r>
        <w:t xml:space="preserve">Beispiele</w:t>
      </w:r>
    </w:p>
    <w:bookmarkStart w:id="305"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5"/>
    <w:bookmarkStart w:id="306"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6"/>
    <w:bookmarkEnd w:id="307"/>
    <w:bookmarkEnd w:id="308"/>
    <w:bookmarkStart w:id="312" w:name="enum-addresstypeenum"/>
    <w:p>
      <w:pPr>
        <w:pStyle w:val="berschrift2"/>
      </w:pPr>
      <w:r>
        <w:t xml:space="preserve">Enum: AddressTypeEnum</w:t>
      </w:r>
      <w:r>
        <w:t xml:space="preserve"> </w:t>
      </w:r>
      <w:bookmarkStart w:id="309" w:name="AddressTypeEnum"/>
      <w:bookmarkEnd w:id="309"/>
    </w:p>
    <w:p>
      <w:pPr>
        <w:pStyle w:val="FirstParagraph"/>
      </w:pPr>
      <w:r>
        <w:rPr>
          <w:i/>
          <w:iCs/>
        </w:rPr>
        <w:t xml:space="preserve">Adresstypen.</w:t>
      </w:r>
    </w:p>
    <w:p>
      <w:pPr>
        <w:pStyle w:val="Textkrper"/>
      </w:pPr>
      <w:r>
        <w:t xml:space="preserve">URI:</w:t>
      </w:r>
      <w:r>
        <w:t xml:space="preserve"> </w:t>
      </w:r>
      <w:hyperlink ns1:id="rId310">
        <w:r>
          <w:rPr>
            <w:rStyle w:val="Hyperlink"/>
          </w:rPr>
          <w:t xml:space="preserve">act:AddressTypeEnum</w:t>
        </w:r>
      </w:hyperlink>
    </w:p>
    <w:bookmarkStart w:id="311"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p>
      <w:pPr>
        <w:pStyle w:val="Beschriftung"/>
      </w:pPr>
      <w:r>
        <w:t xml:space="preserve">Tabelle</w:t>
      </w:r>
      <w:r>
        <w:t xml:space="preserve"> </w:t>
      </w:r>
      <w:fldSimple w:instr=" SEQ Tabelle \* ARABIC ">
        <w:r>
          <w:t>1</w:t>
        </w:r>
      </w:fldSimple>
      <w:r>
        <w:t xml:space="preserve">: AddressTypeEnum – Zulässige Werte</w:t>
      </w:r>
    </w:p>
    <w:bookmarkEnd w:id="311"/>
    <w:bookmarkEnd w:id="312"/>
    <w:bookmarkStart w:id="316" w:name="klasse-contact"/>
    <w:p>
      <w:pPr>
        <w:pStyle w:val="berschrift2"/>
      </w:pPr>
      <w:r>
        <w:t xml:space="preserve">Klasse: Contact</w:t>
      </w:r>
      <w:r>
        <w:t xml:space="preserve"> </w:t>
      </w:r>
      <w:bookmarkStart w:id="313" w:name="Contact"/>
      <w:bookmarkEnd w:id="313"/>
    </w:p>
    <w:p>
      <w:pPr>
        <w:pStyle w:val="FirstParagraph"/>
      </w:pPr>
      <w:r>
        <w:rPr>
          <w:i/>
          <w:iCs/>
        </w:rPr>
        <w:t xml:space="preserve">Kontaktinformation einer Person mit Angabe eines Typs (z.B. E-Mail, LinkedIn) und eines Werts.</w:t>
      </w:r>
    </w:p>
    <w:bookmarkStart w:id="31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bl>
    <w:p>
      <w:pPr>
        <w:pStyle w:val="Beschriftung"/>
      </w:pPr>
      <w:r>
        <w:t xml:space="preserve">Tabelle</w:t>
      </w:r>
      <w:r>
        <w:t xml:space="preserve"> </w:t>
      </w:r>
      <w:fldSimple w:instr=" SEQ Tabelle \* ARABIC ">
        <w:r>
          <w:t>1</w:t>
        </w:r>
      </w:fldSimple>
      <w:r>
        <w:t xml:space="preserve">: Contact – Attribute</w:t>
      </w:r>
    </w:p>
    <w:bookmarkEnd w:id="314"/>
    <w:bookmarkStart w:id="315" w:name="verwendungen-1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p>
      <w:pPr>
        <w:pStyle w:val="Beschriftung"/>
      </w:pPr>
      <w:r>
        <w:t xml:space="preserve">Tabelle</w:t>
      </w:r>
      <w:r>
        <w:t xml:space="preserve"> </w:t>
      </w:r>
      <w:fldSimple w:instr=" SEQ Tabelle \* ARABIC ">
        <w:r>
          <w:t>1</w:t>
        </w:r>
      </w:fldSimple>
      <w:r>
        <w:t xml:space="preserve">: Contact – Verwendungen</w:t>
      </w:r>
    </w:p>
    <w:bookmarkEnd w:id="315"/>
    <w:bookmarkEnd w:id="316"/>
    <w:bookmarkStart w:id="317" w:name="mixin-klassen"/>
    <w:p>
      <w:pPr>
        <w:pStyle w:val="berschrift2"/>
      </w:pPr>
      <w:r>
        <w:t xml:space="preserve">Mixin-Klassen</w:t>
      </w:r>
    </w:p>
    <w:p>
      <w:pPr>
        <w:pStyle w:val="FirstParagraph"/>
      </w:pPr>
      <w:r>
        <w:t xml:space="preserve">Vier Klassen tragen keine eigenen Daten, sondern bündeln Slots, die in vielen Klassen gleich aussehen: die Identifikation einer Entität, die Identifikation einer Referenz, die zeitliche Gültigkeit und die Erstellungs- und Änderungsdaten. Sie stammen aus dem gemeinsamen Schema der Fachgruppe (eCH-0292) und werden von den Standards der Fachgruppe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vier folgenden Abschnitte erklären, was hinter dieser Angabe steht.</w:t>
      </w:r>
    </w:p>
    <w:bookmarkEnd w:id="317"/>
    <w:bookmarkStart w:id="321" w:name="klasse-hasidentification"/>
    <w:p>
      <w:pPr>
        <w:pStyle w:val="berschrift2"/>
      </w:pPr>
      <w:r>
        <w:t xml:space="preserve">Klasse: HasIdentification</w:t>
      </w:r>
      <w:r>
        <w:t xml:space="preserve"> </w:t>
      </w:r>
      <w:bookmarkStart w:id="318" w:name="HasIdentification"/>
      <w:bookmarkEnd w:id="318"/>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319"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p>
      <w:pPr>
        <w:pStyle w:val="Beschriftung"/>
      </w:pPr>
      <w:r>
        <w:t xml:space="preserve">Tabelle</w:t>
      </w:r>
      <w:r>
        <w:t xml:space="preserve"> </w:t>
      </w:r>
      <w:fldSimple w:instr=" SEQ Tabelle \* ARABIC ">
        <w:r>
          <w:t>1</w:t>
        </w:r>
      </w:fldSimple>
      <w:r>
        <w:t xml:space="preserve">: HasIdentification – Attribute</w:t>
      </w:r>
    </w:p>
    <w:bookmarkEnd w:id="319"/>
    <w:bookmarkStart w:id="320" w:name="mixin-verwendung"/>
    <w:p>
      <w:pPr>
        <w:pStyle w:val="berschrift3"/>
      </w:pPr>
      <w:r>
        <w:t xml:space="preserve">Mixin-Verwendung</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20"/>
    <w:bookmarkEnd w:id="321"/>
    <w:bookmarkStart w:id="325" w:name="klasse-hasreferenceidentification"/>
    <w:p>
      <w:pPr>
        <w:pStyle w:val="berschrift2"/>
      </w:pPr>
      <w:r>
        <w:t xml:space="preserve">Klasse: HasReferenceIdentification</w:t>
      </w:r>
      <w:r>
        <w:t xml:space="preserve"> </w:t>
      </w:r>
      <w:bookmarkStart w:id="322" w:name="HasReferenceIdentification"/>
      <w:bookmarkEnd w:id="322"/>
    </w:p>
    <w:p>
      <w:pPr>
        <w:pStyle w:val="FirstParagraph"/>
      </w:pPr>
      <w:r>
        <w:rPr>
          <w:i/>
          <w:iCs/>
        </w:rPr>
        <w:t xml:space="preserve">Eine Mixin-Klasse, welche die Slots bereitstellt, mit denen eine Referenz die Entität benennt, auf die sie zeigt. Im Unterschied zu</w:t>
      </w:r>
      <w:r>
        <w:rPr>
          <w:i/>
          <w:iCs/>
        </w:rPr>
        <w:t xml:space="preserve"> </w:t>
      </w:r>
      <w:r>
        <w:rPr>
          <w:rStyle w:val="VerbatimChar"/>
          <w:i/>
          <w:iCs/>
        </w:rPr>
        <w:t xml:space="preserve">HasIdentification</w:t>
      </w:r>
      <w:r>
        <w:rPr>
          <w:i/>
          <w:iCs/>
        </w:rPr>
        <w:t xml:space="preserve"> </w:t>
      </w:r>
      <w:r>
        <w:rPr>
          <w:i/>
          <w:iCs/>
        </w:rPr>
        <w:t xml:space="preserve">identifiziert sie nicht das referenzierende Objekt selbst; deshalb ist</w:t>
      </w:r>
      <w:r>
        <w:rPr>
          <w:i/>
          <w:iCs/>
        </w:rPr>
        <w:t xml:space="preserve"> </w:t>
      </w:r>
      <w:r>
        <w:rPr>
          <w:rStyle w:val="VerbatimChar"/>
          <w:i/>
          <w:iCs/>
        </w:rPr>
        <w:t xml:space="preserve">global_uri</w:t>
      </w:r>
      <w:r>
        <w:rPr>
          <w:i/>
          <w:iCs/>
        </w:rPr>
        <w:t xml:space="preserve"> </w:t>
      </w:r>
      <w:r>
        <w:rPr>
          <w:i/>
          <w:iCs/>
        </w:rPr>
        <w:t xml:space="preserve">hier weder Identifikator noch obligatorisch: Ein System, das nur die lokale Id der referenzierten Entität führt, gibt diese an. Eine Referenzklasse, die diesen Mixin verwendet, soll mindestens eines von beiden verlangen.</w:t>
      </w:r>
    </w:p>
    <w:bookmarkStart w:id="323"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p>
      <w:pPr>
        <w:pStyle w:val="Beschriftung"/>
      </w:pPr>
      <w:r>
        <w:t xml:space="preserve">Tabelle</w:t>
      </w:r>
      <w:r>
        <w:t xml:space="preserve"> </w:t>
      </w:r>
      <w:fldSimple w:instr=" SEQ Tabelle \* ARABIC ">
        <w:r>
          <w:t>1</w:t>
        </w:r>
      </w:fldSimple>
      <w:r>
        <w:t xml:space="preserve">: HasReferenceIdentification – Attribute</w:t>
      </w:r>
    </w:p>
    <w:bookmarkEnd w:id="323"/>
    <w:bookmarkStart w:id="324" w:name="mixin-verwendung-1"/>
    <w:p>
      <w:pPr>
        <w:pStyle w:val="berschrift3"/>
      </w:pPr>
      <w:r>
        <w:t xml:space="preserve">Mixin-Verwendung</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4"/>
    <w:bookmarkEnd w:id="325"/>
    <w:bookmarkStart w:id="329" w:name="klasse-hastemporalvalidity"/>
    <w:p>
      <w:pPr>
        <w:pStyle w:val="berschrift2"/>
      </w:pPr>
      <w:r>
        <w:t xml:space="preserve">Klasse: HasTemporalValidity</w:t>
      </w:r>
      <w:r>
        <w:t xml:space="preserve"> </w:t>
      </w:r>
      <w:bookmarkStart w:id="326" w:name="HasTemporalValidity"/>
      <w:bookmarkEnd w:id="326"/>
    </w:p>
    <w:p>
      <w:pPr>
        <w:pStyle w:val="FirstParagraph"/>
      </w:pPr>
      <w:r>
        <w:rPr>
          <w:i/>
          <w:iCs/>
        </w:rPr>
        <w:t xml:space="preserve">Eine Mixin-Klasse, die Slots für die Modellierung einer zeitlichen Gültigkeit einer Information (nicht eines Events) zur Verfügung stellt.</w:t>
      </w:r>
    </w:p>
    <w:bookmarkStart w:id="327"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p>
        </w:tc>
      </w:tr>
    </w:tbl>
    <w:p>
      <w:pPr>
        <w:pStyle w:val="Beschriftung"/>
      </w:pPr>
      <w:r>
        <w:t xml:space="preserve">Tabelle</w:t>
      </w:r>
      <w:r>
        <w:t xml:space="preserve"> </w:t>
      </w:r>
      <w:fldSimple w:instr=" SEQ Tabelle \* ARABIC ">
        <w:r>
          <w:t>1</w:t>
        </w:r>
      </w:fldSimple>
      <w:r>
        <w:t xml:space="preserve">: HasTemporalValidity – Attribute</w:t>
      </w:r>
    </w:p>
    <w:bookmarkEnd w:id="327"/>
    <w:bookmarkStart w:id="328" w:name="mixin-verwendung-2"/>
    <w:p>
      <w:pPr>
        <w:pStyle w:val="berschrift3"/>
      </w:pPr>
      <w:r>
        <w:t xml:space="preserve">Mixin-Verwendung</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8"/>
    <w:bookmarkEnd w:id="329"/>
    <w:bookmarkStart w:id="333" w:name="klasse-hascreationmodificationdates"/>
    <w:p>
      <w:pPr>
        <w:pStyle w:val="berschrift2"/>
      </w:pPr>
      <w:r>
        <w:t xml:space="preserve">Klasse: HasCreationModificationDates</w:t>
      </w:r>
      <w:r>
        <w:t xml:space="preserve"> </w:t>
      </w:r>
      <w:bookmarkStart w:id="330" w:name="HasCreationModificationDates"/>
      <w:bookmarkEnd w:id="330"/>
    </w:p>
    <w:p>
      <w:pPr>
        <w:pStyle w:val="FirstParagraph"/>
      </w:pPr>
      <w:r>
        <w:rPr>
          <w:i/>
          <w:iCs/>
        </w:rPr>
        <w:t xml:space="preserve">Eine Mixin-Klasse, die Slots für die Modellierung von Erstellungs- und Änderungsdaten einer Entität zur Verfügung stellt.</w:t>
      </w:r>
    </w:p>
    <w:bookmarkStart w:id="331"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p>
      <w:pPr>
        <w:pStyle w:val="Beschriftung"/>
      </w:pPr>
      <w:r>
        <w:t xml:space="preserve">Tabelle</w:t>
      </w:r>
      <w:r>
        <w:t xml:space="preserve"> </w:t>
      </w:r>
      <w:fldSimple w:instr=" SEQ Tabelle \* ARABIC ">
        <w:r>
          <w:t>1</w:t>
        </w:r>
      </w:fldSimple>
      <w:r>
        <w:t xml:space="preserve">: HasCreationModificationDates – Attribute</w:t>
      </w:r>
    </w:p>
    <w:bookmarkEnd w:id="331"/>
    <w:bookmarkStart w:id="332" w:name="mixin-verwendung-3"/>
    <w:p>
      <w:pPr>
        <w:pStyle w:val="berschrift3"/>
      </w:pPr>
      <w:r>
        <w:t xml:space="preserve">Mixin-Verwendung</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32"/>
    <w:p>
      <w:r>
        <w:br w:type="page"/>
      </w:r>
    </w:p>
    <w:bookmarkEnd w:id="333"/>
    <w:bookmarkEnd w:id="334"/>
    <w:bookmarkStart w:id="335" w:name="sicherheitsüberlegungen"/>
    <w:p>
      <w:pPr>
        <w:pStyle w:val="berschrift1"/>
      </w:pPr>
      <w:r>
        <w:t xml:space="preserve">Sicherheitsüberlegungen</w:t>
      </w:r>
    </w:p>
    <w:p>
      <w:pPr>
        <w:pStyle w:val="FirstParagraph"/>
      </w:pPr>
      <w:r>
        <w:t xml:space="preserve">Der vorliegende Standard beschreibt Daten über natürliche Personen. Sie sind Personendaten im Sinne von Art. 5 lit. a des Bundesgesetzes über den Datenschutz (DSG, in Kraft seit 1. September 2023). Angaben zu Parteizugehörigkeit, Mandaten und Interessenbindungen lassen auf politische Ansichten schliessen und gelten als besonders schützenswerte Personendaten (Art. 5 lit. c DSG).</w:t>
      </w:r>
    </w:p>
    <w:p>
      <w:pPr>
        <w:pStyle w:val="Textkrper"/>
      </w:pPr>
      <w:r>
        <w:t xml:space="preserve">Der Standard schafft keine Rechtsgrundlage für eine Veröffentlichung. Er strukturiert Daten, deren Publikation sich aus dem Öffentlichkeitsprinzip, aus Offenlegungspflichten der Parlamente oder aus einer Einwilligung ergibt. Ob ein Datenelement publiziert werden darf, entscheidet die publizierende Stelle, nicht das Schema.</w:t>
      </w:r>
    </w:p>
    <w:p>
      <w:pPr>
        <w:pStyle w:val="Textkrper"/>
      </w:pPr>
      <w:r>
        <w:t xml:space="preserve">Bei der Anwendung sind insbesondere folgende Punkte zu beachten:</w:t>
      </w:r>
    </w:p>
    <w:p>
      <w:pPr>
        <w:pStyle w:val="Compact"/>
        <w:numPr>
          <w:ilvl w:val="0"/>
          <w:numId w:val="1019"/>
        </w:numPr>
      </w:pPr>
      <w:r>
        <w:rPr>
          <w:b/>
          <w:bCs/>
        </w:rPr>
        <w:t xml:space="preserve">Rechtsgrundlage je Element.</w:t>
      </w:r>
      <w:r>
        <w:t xml:space="preserve"> </w:t>
      </w:r>
      <w:r>
        <w:t xml:space="preserve">Nicht jedes Element des Schemas ist in jedem Kontext publizierbar. Die publizierende Stelle prüft für jedes befüllte Element, ob eine gesetzliche Grundlage oder eine Einwilligung vorliegt.</w:t>
      </w:r>
    </w:p>
    <w:p>
      <w:pPr>
        <w:pStyle w:val="Compact"/>
        <w:numPr>
          <w:ilvl w:val="0"/>
          <w:numId w:val="1019"/>
        </w:numPr>
      </w:pPr>
      <w:r>
        <w:rPr>
          <w:b/>
          <w:bCs/>
        </w:rPr>
        <w:t xml:space="preserve">Datensparsamkeit.</w:t>
      </w:r>
      <w:r>
        <w:t xml:space="preserve"> </w:t>
      </w:r>
      <w:r>
        <w:t xml:space="preserve">Optionale Elemente — insbesondere Geburtsdatum, Adresse und Kontaktangaben — sind nur zu befüllen, wenn sie für den Zweck der Publikation erforderlich sind.</w:t>
      </w:r>
    </w:p>
    <w:p>
      <w:pPr>
        <w:pStyle w:val="Compact"/>
        <w:numPr>
          <w:ilvl w:val="0"/>
          <w:numId w:val="1019"/>
        </w:numPr>
      </w:pPr>
      <w:r>
        <w:rPr>
          <w:b/>
          <w:bCs/>
        </w:rPr>
        <w:t xml:space="preserve">Private Wohnadressen.</w:t>
      </w:r>
      <w:r>
        <w:t xml:space="preserve"> </w:t>
      </w:r>
      <w:r>
        <w:t xml:space="preserve">Deren Veröffentlichung ist Gegenstand parlamentarischer Vorstösse (vgl. Anhang A). Wo eine Adresse erforderlich ist, ist wenn möglich eine Geschäfts- oder Zustelladresse zu verwenden.</w:t>
      </w:r>
    </w:p>
    <w:p>
      <w:pPr>
        <w:pStyle w:val="Compact"/>
        <w:numPr>
          <w:ilvl w:val="0"/>
          <w:numId w:val="1019"/>
        </w:numPr>
      </w:pPr>
      <w:r>
        <w:rPr>
          <w:b/>
          <w:bCs/>
        </w:rPr>
        <w:t xml:space="preserve">Aggregation.</w:t>
      </w:r>
      <w:r>
        <w:t xml:space="preserve"> </w:t>
      </w:r>
      <w:r>
        <w:t xml:space="preserve">Das Zusammenführen mehrerer Quellen kann Persönlichkeitsprofile ergeben, die über den Zweck der einzelnen Publikation hinausgehen. Wer Daten nach diesem Standard zusammenführt, prüft die Zweckbindung erneut.</w:t>
      </w:r>
    </w:p>
    <w:p>
      <w:pPr>
        <w:pStyle w:val="Compact"/>
        <w:numPr>
          <w:ilvl w:val="0"/>
          <w:numId w:val="1019"/>
        </w:numPr>
      </w:pPr>
      <w:r>
        <w:rPr>
          <w:b/>
          <w:bCs/>
        </w:rPr>
        <w:t xml:space="preserve">Historische Angaben in Referenzen.</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halten lokale Merkmale zum Zeitpunkt der Verknüpfung fest. Diese dürfen nicht als aktueller Stand interpretiert werden.</w:t>
      </w:r>
    </w:p>
    <w:p>
      <w:pPr>
        <w:pStyle w:val="Compact"/>
        <w:numPr>
          <w:ilvl w:val="0"/>
          <w:numId w:val="1019"/>
        </w:numPr>
      </w:pPr>
      <w:r>
        <w:rPr>
          <w:b/>
          <w:bCs/>
        </w:rPr>
        <w:t xml:space="preserve">Übertragung und Zugriff.</w:t>
      </w:r>
      <w:r>
        <w:t xml:space="preserve"> </w:t>
      </w:r>
      <w:r>
        <w:t xml:space="preserve">Werden Daten nach diesem Standard ausgetauscht, bevor sie öffentlich sind, sind die üblichen Vorkehrungen zu treffen: verschlüsselter Transport, Zugriff nur für autorisierte Personen, Schutz vor Veränderung während der Übertragung.</w:t>
      </w:r>
    </w:p>
    <w:p>
      <w:pPr>
        <w:pStyle w:val="Compact"/>
        <w:numPr>
          <w:ilvl w:val="0"/>
          <w:numId w:val="1019"/>
        </w:numPr>
      </w:pPr>
      <w:r>
        <w:rPr>
          <w:b/>
          <w:bCs/>
        </w:rPr>
        <w:t xml:space="preserve">Verarbeitung fremder Daten.</w:t>
      </w:r>
      <w:r>
        <w:t xml:space="preserve"> </w:t>
      </w:r>
      <w:r>
        <w:t xml:space="preserve">Vor der Weiterverarbeitung eingelesener Lieferungen ist eine Schema-Validierung vorzunehmen. In Freitextfeldern übermittelte Inhalte sind vor der Anzeige zu escapen.</w:t>
      </w:r>
    </w:p>
    <w:p>
      <w:r>
        <w:br w:type="page"/>
      </w:r>
    </w:p>
    <w:bookmarkEnd w:id="335"/>
    <w:bookmarkStart w:id="336" w:name="X7a7cd44f7636750088658f6a550ed57dcb8441f"/>
    <w:p>
      <w:pPr>
        <w:pStyle w:val="berschrift1"/>
      </w:pPr>
      <w:r>
        <w:t xml:space="preserve">Haftungsausschluss/Hinweise auf Rechte Dritter</w:t>
      </w:r>
    </w:p>
    <w:p>
      <w:pPr>
        <w:pStyle w:val="FirstParagraph"/>
      </w:pPr>
      <w:r>
        <w:t xml:space="preserve">eCH-Standards, welche der Verein eCH den Benutzenden zur unentgeltlichen Nutzung zur Verfügung stellen oder welche eCH referenzieren, haben nur den Status von Empfehlungen. Der Verein eCH haftet in keinem Fall für Entscheidungen oder Massnahmen, welche den Benutzenden auf Grund dieser Dokumente trifft und / oder ergreift. Die Benutzenden sind verpflichtet, die Dokumente vor deren Nutzung selbst zu überprüfen und sich gegebenenfalls beraten zu lassen. eCH-Standards können und sollen die technische, organisatorische oder juristische Beratung im konkreten Einzelfall nicht ersetzen.</w:t>
      </w:r>
    </w:p>
    <w:p>
      <w:pPr>
        <w:pStyle w:val="Textkrper"/>
      </w:pPr>
      <w:r>
        <w:t xml:space="preserve">In eCH-Standards referenzierte Dokumente, Verfahren, Methoden, Produkte und Standards sind unter Umständen markenrechtlich, urheberrechtlich oder patentrechtlich geschützt. Es liegt in der ausschliesslichen Verantwortlichkeit der Benutzenden, sich die allenfalls erforderlichen Rechte bei den jeweils berechtigten Personen und/oder Organisationen zu beschaffen.</w:t>
      </w:r>
    </w:p>
    <w:p>
      <w:pPr>
        <w:pStyle w:val="Textkrper"/>
      </w:pPr>
      <w:r>
        <w:t xml:space="preserve">Obwohl der Verein eCH all seine Sorgfalt darauf verwendet, die eCH-Standards sorgfältig auszuarbeiten, kann keine Zusicherung oder Garantie auf Aktualität, Vollständigkeit, Richtigkeit bzw. Fehlerfreiheit der zur Verfügung gestellten Informationen und Dokumente gegeben werden. Der Inhalt von eCH-Standards kann jederzeit und ohne Ankündigung geändert werden.</w:t>
      </w:r>
    </w:p>
    <w:p>
      <w:pPr>
        <w:pStyle w:val="Textkrper"/>
      </w:pPr>
      <w:r>
        <w:t xml:space="preserve">Jede Haftung für Schäden, welche den Benutzenden aus dem Gebrauch der eCH-Standards entstehen, ist, soweit gesetzlich zulässig, wegbedungen.</w:t>
      </w:r>
    </w:p>
    <w:p>
      <w:r>
        <w:br w:type="page"/>
      </w:r>
    </w:p>
    <w:bookmarkEnd w:id="336"/>
    <w:bookmarkStart w:id="357" w:name="urheberrechte"/>
    <w:p>
      <w:pPr>
        <w:pStyle w:val="berschrift1"/>
      </w:pPr>
      <w:r>
        <w:t xml:space="preserve">Urheberrechte</w:t>
      </w:r>
    </w:p>
    <w:p>
      <w:pPr>
        <w:pStyle w:val="FirstParagraph"/>
      </w:pPr>
      <w:r>
        <w:t xml:space="preserve">Wer eCH-Standards erarbeitet, behält das geistige Eigentum an diesen. Allerdings verpflichten sich die Erarbeitenden, ihr betreffendes geistiges Eigentum oder ihre Rechte an geistigem Eigentum anderer, sofern möglich, den jeweiligen Fachgruppen und dem Verein eCH kostenlos zur uneingeschränkten Nutzung und Weiterentwicklung im Rahmen des Vereinszweckes zur Verfügung zu stellen.</w:t>
      </w:r>
    </w:p>
    <w:p>
      <w:pPr>
        <w:pStyle w:val="Textkrper"/>
      </w:pPr>
      <w:r>
        <w:t xml:space="preserve">Die von den Fachgruppen erarbeiteten Standards können unter Nennung der jeweiligen urhebenden Person von eCH unentgeltlich und uneingeschränkt genutzt, weiterverbreitet und weiterentwickelt werden.</w:t>
      </w:r>
    </w:p>
    <w:p>
      <w:pPr>
        <w:pStyle w:val="Textkrper"/>
      </w:pPr>
      <w:r>
        <w:t xml:space="preserve">eCH-Standards sind vollständig dokumentiert und frei von lizenz- und/oder patentrechtlichen Einschränkungen. Die dazugehörige Dokumentation kann unentgeltlich bezogen werden.</w:t>
      </w:r>
    </w:p>
    <w:p>
      <w:pPr>
        <w:pStyle w:val="Textkrper"/>
      </w:pPr>
      <w:r>
        <w:t xml:space="preserve">Diese Bestimmungen gelten ausschliesslich für die von eCH erarbeiteten Standards, nicht jedoch für Standards oder Produkte Dritter, auf welche in den eCH-Standards Bezug genommen wird. Die Standards enthalten die entsprechenden Hinweise auf die Rechte Dritter.</w:t>
      </w:r>
    </w:p>
    <w:p>
      <w:r>
        <w:br w:type="page"/>
      </w:r>
    </w:p>
    <w:bookmarkStart w:id="337" w:name="anhang-a-referenzen-bibliographie"/>
    <w:p>
      <w:pPr>
        <w:pStyle w:val="Anhangberschrift"/>
      </w:pPr>
      <w:r>
        <w:t xml:space="preserve">Anhang A – Referenzen &amp; Bibliographie</w:t>
      </w:r>
    </w:p>
    <w:bookmarkEnd w:id="337"/>
    <w:p>
      <w:pPr>
        <w:pStyle w:val="Textkrper"/>
      </w:pPr>
      <w:r>
        <w:t xml:space="preserve">Wo eine Version genannt ist, ist es diejenige, gegen die dieser Standard erarbeitet wurde.</w:t>
      </w:r>
    </w:p>
    <w:bookmarkStart w:id="338" w:name="Xdbf62244f6b4f9f16288a703ef5341868a945ae"/>
    <w:p>
      <w:pPr>
        <w:pStyle w:val="Anhangberschrift2"/>
      </w:pPr>
      <w:r>
        <w:t xml:space="preserve">Standards der Fachgruppe „Politische Geschäfte”</w:t>
      </w:r>
    </w:p>
    <w:bookmarkEnd w:id="338"/>
    <w:p>
      <w:pPr>
        <w:pStyle w:val="Textkrper"/>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w:t>
            </w:r>
            <w:r>
              <w:t xml:space="preserve"> </w:t>
            </w:r>
            <w:hyperlink ns1:id="rId33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w:t>
            </w:r>
            <w:r>
              <w:t xml:space="preserve"> </w:t>
            </w:r>
            <w:hyperlink ns1:id="rId340">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w:t>
            </w:r>
            <w:r>
              <w:t xml:space="preserve"> </w:t>
            </w:r>
            <w:hyperlink ns1:id="rId34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342">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343">
              <w:r>
                <w:rPr>
                  <w:rStyle w:val="Hyperlink"/>
                </w:rPr>
                <w:t xml:space="preserve">https://www.ech.ch/de/ech/ech-0297</w:t>
              </w:r>
            </w:hyperlink>
          </w:p>
        </w:tc>
      </w:tr>
    </w:tbl>
    <w:bookmarkStart w:id="344" w:name="weitere-ech-standards"/>
    <w:p>
      <w:pPr>
        <w:pStyle w:val="Anhangberschrift2"/>
      </w:pPr>
      <w:r>
        <w:t xml:space="preserve">Weitere eCH-Standards</w:t>
      </w:r>
    </w:p>
    <w:bookmarkEnd w:id="344"/>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31">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345">
              <w:r>
                <w:rPr>
                  <w:rStyle w:val="Hyperlink"/>
                </w:rPr>
                <w:t xml:space="preserve">https://www.ech.ch/de/ech/ech-0108/6.0.0</w:t>
              </w:r>
            </w:hyperlink>
          </w:p>
        </w:tc>
      </w:tr>
    </w:tbl>
    <w:bookmarkStart w:id="346" w:name="codelisten-und-weitere-quellen"/>
    <w:p>
      <w:pPr>
        <w:pStyle w:val="Anhangberschrift2"/>
      </w:pPr>
      <w:r>
        <w:t xml:space="preserve">Codelisten und weitere Quellen</w:t>
      </w:r>
    </w:p>
    <w:bookmarkEnd w:id="346"/>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34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348">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50">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51">
              <w:r>
                <w:rPr>
                  <w:rStyle w:val="Hyperlink"/>
                </w:rPr>
                <w:t xml:space="preserve">https://linkml.io</w:t>
              </w:r>
            </w:hyperlink>
          </w:p>
        </w:tc>
      </w:tr>
    </w:tbl>
    <w:p>
      <w:r>
        <w:br w:type="page"/>
      </w:r>
    </w:p>
    <w:bookmarkStart w:id="352" w:name="anhang-b-mitarbeit-überprüfung"/>
    <w:p>
      <w:pPr>
        <w:pStyle w:val="Anhangberschrift"/>
      </w:pPr>
      <w:r>
        <w:t xml:space="preserve">Anhang B – Mitarbeit &amp; Überprüfung</w:t>
      </w:r>
    </w:p>
    <w:bookmarkEnd w:id="352"/>
    <w:p>
      <w:pPr>
        <w:pStyle w:val="Textkrper"/>
      </w:pPr>
      <w:r>
        <w:t xml:space="preserve">Fachgruppe Politische Geschäfte, Subgruppe Politische Akteure:</w:t>
      </w:r>
    </w:p>
    <w:tbl>
      <w:tblPr>
        <w:tblStyle w:val="Table"/>
        <w:tblW w:type="auto" w:w="0"/>
        <w:tblLook w:firstRow="0" w:lastRow="0" w:firstColumn="0" w:lastColumn="0" w:noHBand="0" w:noVBand="0" w:val="0000"/>
      </w:tblPr>
      <w:tblGrid>
        <w:gridCol w:w="3960"/>
        <w:gridCol w:w="3960"/>
      </w:tblGrid>
      <w:tr>
        <w:tc>
          <w:tcPr/>
          <w:p>
            <w:pPr>
              <w:pStyle w:val="Compact"/>
            </w:pPr>
            <w:r>
              <w:t xml:space="preserve">Julie Silberstein</w:t>
            </w:r>
          </w:p>
        </w:tc>
        <w:tc>
          <w:tcPr/>
          <w:p>
            <w:pPr>
              <w:pStyle w:val="Compact"/>
            </w:pPr>
            <w:r>
              <w:t xml:space="preserve">Bundesamt für Statistik</w:t>
            </w:r>
          </w:p>
        </w:tc>
      </w:tr>
      <w:tr>
        <w:tc>
          <w:tcPr>
            <w:shd w:val="clear" w:color="auto" w:fill="F2F2F2"/>
          </w:tcPr>
          <w:p>
            <w:pPr>
              <w:pStyle w:val="Compact"/>
            </w:pPr>
            <w:r>
              <w:t xml:space="preserve">Laurence Brandenberger</w:t>
            </w:r>
          </w:p>
        </w:tc>
        <w:tc>
          <w:tcPr>
            <w:shd w:val="clear" w:color="auto" w:fill="F2F2F2"/>
          </w:tcPr>
          <w:p>
            <w:pPr>
              <w:pStyle w:val="Compact"/>
            </w:pPr>
            <w:r>
              <w:t xml:space="preserve">Universität Zürich, IPZ</w:t>
            </w:r>
          </w:p>
        </w:tc>
      </w:tr>
      <w:tr>
        <w:tc>
          <w:tcPr/>
          <w:p>
            <w:pPr>
              <w:pStyle w:val="Compact"/>
            </w:pPr>
            <w:r>
              <w:t xml:space="preserve">Daniela Koller</w:t>
            </w:r>
          </w:p>
        </w:tc>
        <w:tc>
          <w:tcPr/>
          <w:p>
            <w:pPr>
              <w:pStyle w:val="Compact"/>
            </w:pPr>
            <w:r>
              <w:t xml:space="preserve">Kanton Thurgau</w:t>
            </w:r>
          </w:p>
        </w:tc>
      </w:tr>
      <w:tr>
        <w:tc>
          <w:tcPr>
            <w:shd w:val="clear" w:color="auto" w:fill="F2F2F2"/>
          </w:tcPr>
          <w:p>
            <w:pPr>
              <w:pStyle w:val="Compact"/>
            </w:pPr>
            <w:r>
              <w:t xml:space="preserve">Thomas Roth</w:t>
            </w:r>
          </w:p>
        </w:tc>
        <w:tc>
          <w:tcPr>
            <w:shd w:val="clear" w:color="auto" w:fill="F2F2F2"/>
          </w:tcPr>
          <w:p>
            <w:pPr>
              <w:pStyle w:val="Compact"/>
            </w:pPr>
          </w:p>
        </w:tc>
      </w:tr>
      <w:tr>
        <w:tc>
          <w:tcPr/>
          <w:p>
            <w:pPr>
              <w:pStyle w:val="Compact"/>
            </w:pPr>
            <w:r>
              <w:t xml:space="preserve">Stefan Oderbolz</w:t>
            </w:r>
          </w:p>
        </w:tc>
        <w:tc>
          <w:tcPr/>
          <w:p>
            <w:pPr>
              <w:pStyle w:val="Compact"/>
            </w:pPr>
            <w:r>
              <w:t xml:space="preserve">EBP</w:t>
            </w:r>
          </w:p>
        </w:tc>
      </w:tr>
      <w:tr>
        <w:tc>
          <w:tcPr>
            <w:shd w:val="clear" w:color="auto" w:fill="F2F2F2"/>
          </w:tcPr>
          <w:p>
            <w:pPr>
              <w:pStyle w:val="Compact"/>
            </w:pPr>
            <w:r>
              <w:t xml:space="preserve">Fabian Davolio</w:t>
            </w:r>
          </w:p>
        </w:tc>
        <w:tc>
          <w:tcPr>
            <w:shd w:val="clear" w:color="auto" w:fill="F2F2F2"/>
          </w:tcPr>
          <w:p>
            <w:pPr>
              <w:pStyle w:val="Compact"/>
            </w:pPr>
            <w:r>
              <w:t xml:space="preserve">Parlamentsdienste</w:t>
            </w:r>
          </w:p>
        </w:tc>
      </w:tr>
      <w:tr>
        <w:tc>
          <w:tcPr/>
          <w:p>
            <w:pPr>
              <w:pStyle w:val="Compact"/>
            </w:pPr>
            <w:r>
              <w:t xml:space="preserve">Orhan Saeedi</w:t>
            </w:r>
          </w:p>
        </w:tc>
        <w:tc>
          <w:tcPr/>
          <w:p>
            <w:pPr>
              <w:pStyle w:val="Compact"/>
            </w:pPr>
            <w:r>
              <w:t xml:space="preserve">Kanton Basel-Stadt</w:t>
            </w:r>
          </w:p>
        </w:tc>
      </w:tr>
      <w:tr>
        <w:tc>
          <w:tcPr>
            <w:shd w:val="clear" w:color="auto" w:fill="F2F2F2"/>
          </w:tcPr>
          <w:p>
            <w:pPr>
              <w:pStyle w:val="Compact"/>
            </w:pPr>
            <w:r>
              <w:t xml:space="preserve">Christian Gutknecht</w:t>
            </w:r>
          </w:p>
        </w:tc>
        <w:tc>
          <w:tcPr>
            <w:shd w:val="clear" w:color="auto" w:fill="F2F2F2"/>
          </w:tcPr>
          <w:p>
            <w:pPr>
              <w:pStyle w:val="Compact"/>
            </w:pPr>
            <w:r>
              <w:t xml:space="preserve">Glue AG</w:t>
            </w:r>
          </w:p>
        </w:tc>
      </w:tr>
      <w:tr>
        <w:tc>
          <w:tcPr/>
          <w:p>
            <w:pPr>
              <w:pStyle w:val="Compact"/>
            </w:pPr>
            <w:r>
              <w:t xml:space="preserve">Michael Luggen</w:t>
            </w:r>
          </w:p>
        </w:tc>
        <w:tc>
          <w:tcPr/>
          <w:p>
            <w:pPr>
              <w:pStyle w:val="Compact"/>
            </w:pPr>
            <w:r>
              <w:t xml:space="preserve">Bundeskanzlei</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Datum</w:t>
            </w:r>
          </w:p>
        </w:tc>
        <w:tc>
          <w:tcPr/>
          <w:p>
            <w:pPr>
              <w:pStyle w:val="Compact"/>
            </w:pPr>
            <w:r>
              <w:t xml:space="preserve">Ersteller</w:t>
            </w:r>
          </w:p>
        </w:tc>
        <w:tc>
          <w:tcPr/>
          <w:p>
            <w:pPr>
              <w:pStyle w:val="Compact"/>
            </w:pPr>
            <w:r>
              <w:t xml:space="preserve">Bemerkung</w:t>
            </w:r>
          </w:p>
        </w:tc>
      </w:tr>
      <w:tr>
        <w:tc>
          <w:tcPr>
            <w:shd w:val="clear" w:color="auto" w:fill="F2F2F2"/>
          </w:tcPr>
          <w:p>
            <w:pPr>
              <w:pStyle w:val="Compact"/>
            </w:pPr>
            <w:r>
              <w:t xml:space="preserve">1.0.0</w:t>
            </w:r>
          </w:p>
        </w:tc>
        <w:tc>
          <w:tcPr>
            <w:shd w:val="clear" w:color="auto" w:fill="F2F2F2"/>
          </w:tcPr>
          <w:p>
            <w:pPr>
              <w:pStyle w:val="Compact"/>
            </w:pPr>
            <w:r>
              <w:t xml:space="preserve">2026-08-10</w:t>
            </w:r>
          </w:p>
        </w:tc>
        <w:tc>
          <w:tcPr>
            <w:shd w:val="clear" w:color="auto" w:fill="F2F2F2"/>
          </w:tcPr>
          <w:p>
            <w:pPr>
              <w:pStyle w:val="Compact"/>
            </w:pPr>
            <w:r>
              <w:t xml:space="preserve">Fachgruppe Politische Geschäfte</w:t>
            </w:r>
          </w:p>
        </w:tc>
        <w:tc>
          <w:tcPr>
            <w:shd w:val="clear" w:color="auto" w:fill="F2F2F2"/>
          </w:tcPr>
          <w:p>
            <w:pPr>
              <w:pStyle w:val="Compact"/>
            </w:pPr>
            <w:r>
              <w:t xml:space="preserve">Einreichung als Vorschlag</w:t>
            </w:r>
          </w:p>
        </w:tc>
      </w:tr>
    </w:tbl>
    <w:bookmarkStart w:id="353" w:name="anhang-c-abkürzungen-und-glossar"/>
    <w:p>
      <w:pPr>
        <w:pStyle w:val="Anhangberschrift"/>
      </w:pPr>
      <w:r>
        <w:t xml:space="preserve">Anhang C – Abkürzungen und Glossar</w:t>
      </w:r>
    </w:p>
    <w:bookmarkEnd w:id="353"/>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DSG</w:t>
            </w:r>
          </w:p>
        </w:tc>
        <w:tc>
          <w:tcPr/>
          <w:p>
            <w:pPr>
              <w:pStyle w:val="Compact"/>
            </w:pPr>
            <w:r>
              <w:t xml:space="preserve">Bundesgesetz über den Datenschutz, in Kraft seit 1. September 2023.</w:t>
            </w:r>
          </w:p>
        </w:tc>
      </w:tr>
      <w:tr>
        <w:tc>
          <w:tcPr>
            <w:shd w:val="clear" w:color="auto" w:fill="F2F2F2"/>
          </w:tcPr>
          <w:p>
            <w:pPr>
              <w:pStyle w:val="Compact"/>
            </w:pPr>
            <w:r>
              <w:t xml:space="preserve">I14Y</w:t>
            </w:r>
          </w:p>
        </w:tc>
        <w:tc>
          <w:tcPr>
            <w:shd w:val="clear" w:color="auto" w:fill="F2F2F2"/>
          </w:tcPr>
          <w:p>
            <w:pPr>
              <w:pStyle w:val="Compact"/>
            </w:pPr>
            <w:r>
              <w:t xml:space="preserve">Interoperabilitätsplattform des Bundesamts für Statistik; Bezugsquelle mehrerer Codelisten.</w:t>
            </w:r>
          </w:p>
        </w:tc>
      </w:tr>
      <w:tr>
        <w:tc>
          <w:tcPr/>
          <w:p>
            <w:pPr>
              <w:pStyle w:val="Compact"/>
            </w:pPr>
            <w:r>
              <w:t xml:space="preserve">IRI</w:t>
            </w:r>
          </w:p>
        </w:tc>
        <w:tc>
          <w:tcPr/>
          <w:p>
            <w:pPr>
              <w:pStyle w:val="Compact"/>
            </w:pPr>
            <w:r>
              <w:t xml:space="preserve">Internationalized Resource Identifier. Erweiterung der URI auf den vollen Unicode-Zeichenvorrat.</w:t>
            </w:r>
          </w:p>
        </w:tc>
      </w:tr>
      <w:tr>
        <w:tc>
          <w:tcPr>
            <w:shd w:val="clear" w:color="auto" w:fill="F2F2F2"/>
          </w:tcPr>
          <w:p>
            <w:pPr>
              <w:pStyle w:val="Compact"/>
            </w:pPr>
            <w:r>
              <w:t xml:space="preserve">JSON-LD</w:t>
            </w:r>
          </w:p>
        </w:tc>
        <w:tc>
          <w:tcPr>
            <w:shd w:val="clear" w:color="auto" w:fill="F2F2F2"/>
          </w:tcPr>
          <w:p>
            <w:pPr>
              <w:pStyle w:val="Compact"/>
            </w:pPr>
            <w:r>
              <w:t xml:space="preserve">JSON for Linking Data. Serialisierung von verknüpften Daten in JSON.</w:t>
            </w:r>
          </w:p>
        </w:tc>
      </w:tr>
      <w:tr>
        <w:tc>
          <w:tcPr/>
          <w:p>
            <w:pPr>
              <w:pStyle w:val="Compact"/>
            </w:pPr>
            <w:r>
              <w:t xml:space="preserve">LINDAS</w:t>
            </w:r>
          </w:p>
        </w:tc>
        <w:tc>
          <w:tcPr/>
          <w:p>
            <w:pPr>
              <w:pStyle w:val="Compact"/>
            </w:pPr>
            <w:r>
              <w:t xml:space="preserve">Linked Data Service der Schweizerischen Bundesverwaltung.</w:t>
            </w:r>
          </w:p>
        </w:tc>
      </w:tr>
      <w:tr>
        <w:tc>
          <w:tcPr>
            <w:shd w:val="clear" w:color="auto" w:fill="F2F2F2"/>
          </w:tcPr>
          <w:p>
            <w:pPr>
              <w:pStyle w:val="Compact"/>
            </w:pPr>
            <w:r>
              <w:t xml:space="preserve">LinkML</w:t>
            </w:r>
          </w:p>
        </w:tc>
        <w:tc>
          <w:tcPr>
            <w:shd w:val="clear" w:color="auto" w:fill="F2F2F2"/>
          </w:tcPr>
          <w:p>
            <w:pPr>
              <w:pStyle w:val="Compact"/>
            </w:pPr>
            <w:r>
              <w:t xml:space="preserve">Linked Data Modeling Language. Modellierungssprache, in der dieser Standard definiert ist.</w:t>
            </w:r>
          </w:p>
        </w:tc>
      </w:tr>
      <w:tr>
        <w:tc>
          <w:tcPr/>
          <w:p>
            <w:pPr>
              <w:pStyle w:val="Compact"/>
            </w:pPr>
            <w:r>
              <w:t xml:space="preserve">NOGA</w:t>
            </w:r>
          </w:p>
        </w:tc>
        <w:tc>
          <w:tcPr/>
          <w:p>
            <w:pPr>
              <w:pStyle w:val="Compact"/>
            </w:pPr>
            <w:r>
              <w:t xml:space="preserve">Allgemeine Systematik der Wirtschaftszweige des Bundesamts für Statistik.</w:t>
            </w:r>
          </w:p>
        </w:tc>
      </w:tr>
      <w:tr>
        <w:tc>
          <w:tcPr>
            <w:shd w:val="clear" w:color="auto" w:fill="F2F2F2"/>
          </w:tcPr>
          <w:p>
            <w:pPr>
              <w:pStyle w:val="Compact"/>
            </w:pPr>
            <w:r>
              <w:t xml:space="preserve">RDF</w:t>
            </w:r>
          </w:p>
        </w:tc>
        <w:tc>
          <w:tcPr>
            <w:shd w:val="clear" w:color="auto" w:fill="F2F2F2"/>
          </w:tcPr>
          <w:p>
            <w:pPr>
              <w:pStyle w:val="Compact"/>
            </w:pPr>
            <w:r>
              <w:t xml:space="preserve">Resource Description Framework. Datenmodell für verknüpfte Daten; hier als Turtle (.ttl) ausgeliefert.</w:t>
            </w:r>
          </w:p>
        </w:tc>
      </w:tr>
      <w:tr>
        <w:tc>
          <w:tcPr/>
          <w:p>
            <w:pPr>
              <w:pStyle w:val="Compact"/>
            </w:pPr>
            <w:r>
              <w:t xml:space="preserve">UID</w:t>
            </w:r>
          </w:p>
        </w:tc>
        <w:tc>
          <w:tcPr/>
          <w:p>
            <w:pPr>
              <w:pStyle w:val="Compact"/>
            </w:pPr>
            <w:r>
              <w:t xml:space="preserve">Unternehmens-Identifikationsnummer. Eindeutiger Schlüssel eines Schweizer Unternehmens gemäss Bundesamt für Statistik.</w:t>
            </w:r>
          </w:p>
        </w:tc>
      </w:tr>
      <w:tr>
        <w:tc>
          <w:tcPr>
            <w:shd w:val="clear" w:color="auto" w:fill="F2F2F2"/>
          </w:tcPr>
          <w:p>
            <w:pPr>
              <w:pStyle w:val="Compact"/>
            </w:pPr>
            <w:r>
              <w:t xml:space="preserve">URI</w:t>
            </w:r>
          </w:p>
        </w:tc>
        <w:tc>
          <w:tcPr>
            <w:shd w:val="clear" w:color="auto" w:fill="F2F2F2"/>
          </w:tcPr>
          <w:p>
            <w:pPr>
              <w:pStyle w:val="Compact"/>
            </w:pPr>
            <w:r>
              <w:t xml:space="preserve">Uniform Resource Identifier. Eindeutiger Bezeichner einer Ressource.</w:t>
            </w:r>
          </w:p>
        </w:tc>
      </w:tr>
      <w:tr>
        <w:tc>
          <w:tcPr/>
          <w:p>
            <w:pPr>
              <w:pStyle w:val="Compact"/>
            </w:pPr>
            <w:r>
              <w:t xml:space="preserve">XSD</w:t>
            </w:r>
          </w:p>
        </w:tc>
        <w:tc>
          <w:tcPr/>
          <w:p>
            <w:pPr>
              <w:pStyle w:val="Compact"/>
            </w:pPr>
            <w:r>
              <w:t xml:space="preserve">XML Schema Definition. Empfehlung des W3C zum Definieren von Strukturen für XML-Dokumente.</w:t>
            </w:r>
          </w:p>
        </w:tc>
      </w:tr>
    </w:tbl>
    <w:bookmarkStart w:id="354" w:name="anhang-d-änderungen-gegenüber-vorversion"/>
    <w:p>
      <w:pPr>
        <w:pStyle w:val="Anhangberschrift"/>
      </w:pPr>
      <w:r>
        <w:t xml:space="preserve">Anhang D – Änderungen gegenüber Vorversion</w:t>
      </w:r>
    </w:p>
    <w:bookmarkEnd w:id="354"/>
    <w:p>
      <w:pPr>
        <w:pStyle w:val="Textkrper"/>
      </w:pPr>
      <w:r>
        <w:t xml:space="preserve">Dies ist die erste Version.</w:t>
      </w:r>
    </w:p>
    <w:p>
      <w:r>
        <w:br w:type="page"/>
      </w:r>
    </w:p>
    <w:bookmarkStart w:id="355" w:name="anhang-e-abbildungsverzeichnis"/>
    <w:p>
      <w:pPr>
        <w:pStyle w:val="Anhangberschrift"/>
      </w:pPr>
      <w:r>
        <w:t xml:space="preserve">Anhang E – Abbildungsverzeichnis</w:t>
      </w:r>
    </w:p>
    <w:bookmarkEnd w:id="355"/>
    <w:p>
      <w:pPr>
        <w:pStyle w:val="Textkrper"/>
      </w:pPr>
      <w:r>
        <w:t xml:space="preserve">Keine</w:t>
      </w:r>
    </w:p>
    <w:bookmarkStart w:id="356" w:name="anhang-f-tabellenverzeichnis"/>
    <w:p>
      <w:pPr>
        <w:pStyle w:val="Anhangberschrift"/>
      </w:pPr>
      <w:r>
        <w:t xml:space="preserve">Anhang F – Tabellenverzeichnis</w:t>
      </w:r>
    </w:p>
    <w:bookmarkEnd w:id="356"/>
    <w:p>
      <w:r>
        <w:fldChar w:fldCharType="begin" w:dirty="true"/>
      </w:r>
      <w:r>
        <w:instrText xml:space="preserve"> TOC \h \z \c "Tabelle" </w:instrText>
      </w:r>
      <w:r>
        <w:fldChar w:fldCharType="separate"/>
      </w:r>
      <w:r>
        <w:t>Rechtsklick &gt; „Felder aktualisieren“, um das Tabellenverzeichnis zu erzeugen.</w:t>
      </w:r>
      <w:r>
        <w:fldChar w:fldCharType="end"/>
      </w:r>
    </w:p>
    <w:bookmarkEnd w:id="35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1"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0" Target="https://schema.org" TargetMode="External" /><Relationship Type="http://schemas.openxmlformats.org/officeDocument/2006/relationships/hyperlink" Id="rId30" Target="https://www.bfs.admin.ch/bfs/de/home/register/personenregister/registerharmonisierung/nomenklaturen.assetdetail.24565576.html" TargetMode="External" /><Relationship Type="http://schemas.openxmlformats.org/officeDocument/2006/relationships/hyperlink" Id="rId31" Target="https://www.ech.ch/de/ech/ech-0011/9.0.0" TargetMode="External" /><Relationship Type="http://schemas.openxmlformats.org/officeDocument/2006/relationships/hyperlink" Id="rId345"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47"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de/amtliches-verzeichnis-der-gebaeudeadressen" TargetMode="External" /><Relationship Type="http://schemas.openxmlformats.org/officeDocument/2006/relationships/hyperlink" Id="rId34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1"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0" Target="https://schema.org" TargetMode="External" /><Relationship Type="http://schemas.openxmlformats.org/officeDocument/2006/relationships/hyperlink" Id="rId30" Target="https://www.bfs.admin.ch/bfs/de/home/register/personenregister/registerharmonisierung/nomenklaturen.assetdetail.24565576.html" TargetMode="External" /><Relationship Type="http://schemas.openxmlformats.org/officeDocument/2006/relationships/hyperlink" Id="rId31" Target="https://www.ech.ch/de/ech/ech-0011/9.0.0" TargetMode="External" /><Relationship Type="http://schemas.openxmlformats.org/officeDocument/2006/relationships/hyperlink" Id="rId345"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47"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de/amtliches-verzeichnis-der-gebaeudeadressen" TargetMode="External" /><Relationship Type="http://schemas.openxmlformats.org/officeDocument/2006/relationships/hyperlink" Id="rId34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2026-09-23T10:58:32Z</dcterms:created>
  <dcterms:modified xsi:type="dcterms:W3CDTF">2026-09-23T10:58:32Z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