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4BE3" w14:textId="1772A84C" w:rsidR="004B1C9D" w:rsidRDefault="00D1033E" w:rsidP="00F533EA">
      <w:pPr>
        <w:pStyle w:val="Title"/>
        <w:rPr>
          <w:lang w:val="de-CH"/>
        </w:rPr>
      </w:pPr>
      <w:bookmarkStart w:id="0" w:name="OLE_LINK3"/>
      <w:r>
        <w:rPr>
          <w:lang w:val="de-CH"/>
        </w:rPr>
        <w:t>Erlasse und Gesetzestexte (</w:t>
      </w:r>
      <w:r w:rsidR="00F533EA" w:rsidRPr="00F533EA">
        <w:rPr>
          <w:lang w:val="de-CH"/>
        </w:rPr>
        <w:t>eCH-0296</w:t>
      </w:r>
      <w:r>
        <w:rPr>
          <w:lang w:val="de-CH"/>
        </w:rPr>
        <w:t>)</w:t>
      </w:r>
    </w:p>
    <w:p w14:paraId="301462A2" w14:textId="77777777" w:rsidR="00F533EA" w:rsidRDefault="00F533EA" w:rsidP="00F533EA">
      <w:pPr>
        <w:pStyle w:val="Heading1"/>
        <w:rPr>
          <w:lang w:val="de-CH"/>
        </w:rPr>
      </w:pPr>
      <w:r>
        <w:rPr>
          <w:lang w:val="de-CH"/>
        </w:rPr>
        <w:t xml:space="preserve">Modul 1: </w:t>
      </w:r>
      <w:proofErr w:type="spellStart"/>
      <w:r w:rsidRPr="00F533EA">
        <w:rPr>
          <w:lang w:val="de-CH"/>
        </w:rPr>
        <w:t>Application</w:t>
      </w:r>
      <w:proofErr w:type="spellEnd"/>
      <w:r w:rsidRPr="00F533EA">
        <w:rPr>
          <w:lang w:val="de-CH"/>
        </w:rPr>
        <w:t xml:space="preserve"> Profile (AP) für ELI</w:t>
      </w:r>
    </w:p>
    <w:bookmarkEnd w:id="0"/>
    <w:p w14:paraId="60BD1C52" w14:textId="2CCF56BE" w:rsidR="00F533EA" w:rsidRDefault="00D1033E" w:rsidP="00F533EA">
      <w:pPr>
        <w:rPr>
          <w:lang w:val="de-CH"/>
        </w:rPr>
      </w:pPr>
      <w:r>
        <w:rPr>
          <w:lang w:val="de-CH"/>
        </w:rPr>
        <w:t xml:space="preserve">Modul 1 des </w:t>
      </w:r>
      <w:r w:rsidR="00F533EA" w:rsidRPr="00F533EA">
        <w:rPr>
          <w:lang w:val="de-CH"/>
        </w:rPr>
        <w:t>das die</w:t>
      </w:r>
      <w:r w:rsidR="00F533EA">
        <w:rPr>
          <w:lang w:val="de-CH"/>
        </w:rPr>
        <w:t xml:space="preserve"> </w:t>
      </w:r>
      <w:r w:rsidR="00F533EA" w:rsidRPr="00F533EA">
        <w:rPr>
          <w:lang w:val="de-CH"/>
        </w:rPr>
        <w:t xml:space="preserve">folgenden Standards berücksichtigt: AKN (inkl. FRBR und </w:t>
      </w:r>
      <w:proofErr w:type="spellStart"/>
      <w:r w:rsidR="00F533EA" w:rsidRPr="00F533EA">
        <w:rPr>
          <w:lang w:val="de-CH"/>
        </w:rPr>
        <w:t>FRBRoo</w:t>
      </w:r>
      <w:proofErr w:type="spellEnd"/>
      <w:r w:rsidR="00F533EA" w:rsidRPr="00F533EA">
        <w:rPr>
          <w:lang w:val="de-CH"/>
        </w:rPr>
        <w:t>) sowie ELI (inkl. ELI-DL)</w:t>
      </w:r>
    </w:p>
    <w:p w14:paraId="46F27006" w14:textId="5E19AA6F" w:rsidR="00F533EA" w:rsidRDefault="00F533EA" w:rsidP="00F533EA">
      <w:pPr>
        <w:pStyle w:val="Heading2"/>
      </w:pPr>
      <w:r>
        <w:t>AKN</w:t>
      </w:r>
    </w:p>
    <w:p w14:paraId="69326575" w14:textId="77777777" w:rsidR="00B821DB" w:rsidRDefault="00F533EA" w:rsidP="00F533EA">
      <w:r>
        <w:t xml:space="preserve">ToC: </w:t>
      </w:r>
    </w:p>
    <w:p w14:paraId="6F53F553" w14:textId="02F75AF5" w:rsidR="00B821DB" w:rsidRDefault="00B821DB" w:rsidP="00B821DB">
      <w:pPr>
        <w:pStyle w:val="ListParagraph"/>
        <w:numPr>
          <w:ilvl w:val="0"/>
          <w:numId w:val="1"/>
        </w:numPr>
      </w:pPr>
      <w:r w:rsidRPr="00F533EA">
        <w:t xml:space="preserve">PART 1– </w:t>
      </w:r>
      <w:r>
        <w:t>Guidelines and Modelling</w:t>
      </w:r>
    </w:p>
    <w:p w14:paraId="219DD3F3" w14:textId="21846644" w:rsidR="00B821DB" w:rsidRDefault="00F533EA" w:rsidP="00B821DB">
      <w:pPr>
        <w:pStyle w:val="ListParagraph"/>
        <w:numPr>
          <w:ilvl w:val="1"/>
          <w:numId w:val="1"/>
        </w:numPr>
      </w:pPr>
      <w:r>
        <w:t xml:space="preserve">Scope, </w:t>
      </w:r>
    </w:p>
    <w:p w14:paraId="696B4E80" w14:textId="77777777" w:rsidR="00B821DB" w:rsidRDefault="00F533EA" w:rsidP="00B821DB">
      <w:pPr>
        <w:pStyle w:val="ListParagraph"/>
        <w:numPr>
          <w:ilvl w:val="1"/>
          <w:numId w:val="1"/>
        </w:numPr>
      </w:pPr>
      <w:r>
        <w:t>File</w:t>
      </w:r>
    </w:p>
    <w:p w14:paraId="125BCE6C" w14:textId="19C0FCF8" w:rsidR="00B821DB" w:rsidRDefault="00F533EA" w:rsidP="00B821DB">
      <w:pPr>
        <w:pStyle w:val="ListParagraph"/>
        <w:numPr>
          <w:ilvl w:val="2"/>
          <w:numId w:val="1"/>
        </w:numPr>
      </w:pPr>
      <w:r>
        <w:t xml:space="preserve">Body, </w:t>
      </w:r>
    </w:p>
    <w:p w14:paraId="254542C9" w14:textId="4AFE7B0C" w:rsidR="00B821DB" w:rsidRDefault="00F533EA" w:rsidP="00B821DB">
      <w:pPr>
        <w:pStyle w:val="ListParagraph"/>
        <w:numPr>
          <w:ilvl w:val="2"/>
          <w:numId w:val="1"/>
        </w:numPr>
      </w:pPr>
      <w:r>
        <w:t xml:space="preserve">Preamble, </w:t>
      </w:r>
    </w:p>
    <w:p w14:paraId="7B700DB7" w14:textId="15FD2E77" w:rsidR="00B821DB" w:rsidRDefault="00F533EA" w:rsidP="00B821DB">
      <w:pPr>
        <w:pStyle w:val="ListParagraph"/>
        <w:numPr>
          <w:ilvl w:val="2"/>
          <w:numId w:val="1"/>
        </w:numPr>
      </w:pPr>
      <w:r>
        <w:t xml:space="preserve">Preface, etc., </w:t>
      </w:r>
    </w:p>
    <w:p w14:paraId="2A7D30BC" w14:textId="7A30A4F6" w:rsidR="00B821DB" w:rsidRDefault="00F533EA" w:rsidP="00B821DB">
      <w:pPr>
        <w:pStyle w:val="ListParagraph"/>
        <w:numPr>
          <w:ilvl w:val="2"/>
          <w:numId w:val="1"/>
        </w:numPr>
      </w:pPr>
      <w:r>
        <w:t xml:space="preserve">Notes, </w:t>
      </w:r>
    </w:p>
    <w:p w14:paraId="25A11088" w14:textId="1A3D010C" w:rsidR="00B821DB" w:rsidRDefault="00F533EA" w:rsidP="00B821DB">
      <w:pPr>
        <w:pStyle w:val="ListParagraph"/>
        <w:numPr>
          <w:ilvl w:val="2"/>
          <w:numId w:val="1"/>
        </w:numPr>
      </w:pPr>
      <w:r>
        <w:t xml:space="preserve">Textual Content, </w:t>
      </w:r>
    </w:p>
    <w:p w14:paraId="6CAED8E2" w14:textId="420A479E" w:rsidR="00B821DB" w:rsidRDefault="00F533EA" w:rsidP="00B821DB">
      <w:pPr>
        <w:pStyle w:val="ListParagraph"/>
        <w:numPr>
          <w:ilvl w:val="2"/>
          <w:numId w:val="1"/>
        </w:numPr>
      </w:pPr>
      <w:r>
        <w:t xml:space="preserve">Character Set, </w:t>
      </w:r>
    </w:p>
    <w:p w14:paraId="03039DD0" w14:textId="77777777" w:rsidR="00B821DB" w:rsidRDefault="00F533EA" w:rsidP="00B821DB">
      <w:pPr>
        <w:pStyle w:val="ListParagraph"/>
        <w:numPr>
          <w:ilvl w:val="1"/>
          <w:numId w:val="1"/>
        </w:numPr>
      </w:pPr>
      <w:r>
        <w:t xml:space="preserve">Metadata, </w:t>
      </w:r>
    </w:p>
    <w:p w14:paraId="29C62E93" w14:textId="77777777" w:rsidR="00B821DB" w:rsidRDefault="00F533EA" w:rsidP="00B821DB">
      <w:pPr>
        <w:pStyle w:val="ListParagraph"/>
        <w:numPr>
          <w:ilvl w:val="1"/>
          <w:numId w:val="1"/>
        </w:numPr>
      </w:pPr>
      <w:r>
        <w:t xml:space="preserve">Amending Acts, </w:t>
      </w:r>
    </w:p>
    <w:p w14:paraId="01FBCA5D" w14:textId="3CC9EE42" w:rsidR="00F533EA" w:rsidRDefault="00F533EA" w:rsidP="00B821DB">
      <w:pPr>
        <w:pStyle w:val="ListParagraph"/>
        <w:numPr>
          <w:ilvl w:val="1"/>
          <w:numId w:val="1"/>
        </w:numPr>
      </w:pPr>
      <w:r>
        <w:t>Language</w:t>
      </w:r>
    </w:p>
    <w:p w14:paraId="0EF1A77F" w14:textId="46C85645" w:rsidR="00B821DB" w:rsidRDefault="00B821DB" w:rsidP="00B821DB">
      <w:pPr>
        <w:pStyle w:val="ListParagraph"/>
        <w:numPr>
          <w:ilvl w:val="0"/>
          <w:numId w:val="1"/>
        </w:numPr>
      </w:pPr>
      <w:r w:rsidRPr="00F533EA">
        <w:t>PART 2 – Document types</w:t>
      </w:r>
    </w:p>
    <w:p w14:paraId="1AF55D69" w14:textId="77777777" w:rsidR="00B821DB" w:rsidRDefault="00B821DB" w:rsidP="00B821DB">
      <w:pPr>
        <w:pStyle w:val="ListParagraph"/>
        <w:numPr>
          <w:ilvl w:val="1"/>
          <w:numId w:val="1"/>
        </w:numPr>
      </w:pPr>
      <w:r>
        <w:t>Acts</w:t>
      </w:r>
    </w:p>
    <w:p w14:paraId="5D1FEE4C" w14:textId="77777777" w:rsidR="00B821DB" w:rsidRDefault="00B821DB" w:rsidP="00B821DB">
      <w:pPr>
        <w:pStyle w:val="ListParagraph"/>
        <w:numPr>
          <w:ilvl w:val="2"/>
          <w:numId w:val="1"/>
        </w:numPr>
      </w:pPr>
      <w:r>
        <w:t xml:space="preserve">Use Cases, </w:t>
      </w:r>
    </w:p>
    <w:p w14:paraId="1902B7C3" w14:textId="77777777" w:rsidR="00B821DB" w:rsidRDefault="00B821DB" w:rsidP="00B821DB">
      <w:pPr>
        <w:pStyle w:val="ListParagraph"/>
        <w:numPr>
          <w:ilvl w:val="2"/>
          <w:numId w:val="1"/>
        </w:numPr>
      </w:pPr>
      <w:r>
        <w:t xml:space="preserve">Main Part </w:t>
      </w:r>
    </w:p>
    <w:p w14:paraId="6432EB12" w14:textId="77777777" w:rsidR="00B821DB" w:rsidRDefault="00B821DB" w:rsidP="00B821DB">
      <w:pPr>
        <w:pStyle w:val="ListParagraph"/>
        <w:numPr>
          <w:ilvl w:val="3"/>
          <w:numId w:val="1"/>
        </w:numPr>
      </w:pPr>
      <w:r>
        <w:t xml:space="preserve">act or bill, </w:t>
      </w:r>
    </w:p>
    <w:p w14:paraId="5C71FB51" w14:textId="77777777" w:rsidR="00B821DB" w:rsidRDefault="00B821DB" w:rsidP="00B821DB">
      <w:pPr>
        <w:pStyle w:val="ListParagraph"/>
        <w:numPr>
          <w:ilvl w:val="3"/>
          <w:numId w:val="1"/>
        </w:numPr>
      </w:pPr>
      <w:r>
        <w:t xml:space="preserve">meta, </w:t>
      </w:r>
    </w:p>
    <w:p w14:paraId="29803EA3" w14:textId="77777777" w:rsidR="00B821DB" w:rsidRDefault="00B821DB" w:rsidP="00B821DB">
      <w:pPr>
        <w:pStyle w:val="ListParagraph"/>
        <w:numPr>
          <w:ilvl w:val="3"/>
          <w:numId w:val="1"/>
        </w:numPr>
      </w:pPr>
      <w:r>
        <w:t xml:space="preserve">preface, </w:t>
      </w:r>
    </w:p>
    <w:p w14:paraId="01059887" w14:textId="77777777" w:rsidR="00B821DB" w:rsidRDefault="00B821DB" w:rsidP="00B821DB">
      <w:pPr>
        <w:pStyle w:val="ListParagraph"/>
        <w:numPr>
          <w:ilvl w:val="3"/>
          <w:numId w:val="1"/>
        </w:numPr>
      </w:pPr>
      <w:r>
        <w:t xml:space="preserve">preamble, </w:t>
      </w:r>
    </w:p>
    <w:p w14:paraId="2EF95A26" w14:textId="77777777" w:rsidR="00B821DB" w:rsidRDefault="00B821DB" w:rsidP="00B821DB">
      <w:pPr>
        <w:pStyle w:val="ListParagraph"/>
        <w:numPr>
          <w:ilvl w:val="3"/>
          <w:numId w:val="1"/>
        </w:numPr>
      </w:pPr>
      <w:r>
        <w:t xml:space="preserve">body, </w:t>
      </w:r>
    </w:p>
    <w:p w14:paraId="4D343D5A" w14:textId="77777777" w:rsidR="00B821DB" w:rsidRDefault="00B821DB" w:rsidP="00B821DB">
      <w:pPr>
        <w:pStyle w:val="ListParagraph"/>
        <w:numPr>
          <w:ilvl w:val="3"/>
          <w:numId w:val="1"/>
        </w:numPr>
      </w:pPr>
      <w:r>
        <w:t xml:space="preserve">conclusions, </w:t>
      </w:r>
    </w:p>
    <w:p w14:paraId="0D83A7F4" w14:textId="77777777" w:rsidR="00B821DB" w:rsidRDefault="00B821DB" w:rsidP="00B821DB">
      <w:pPr>
        <w:pStyle w:val="ListParagraph"/>
        <w:numPr>
          <w:ilvl w:val="3"/>
          <w:numId w:val="1"/>
        </w:numPr>
      </w:pPr>
      <w:r>
        <w:t xml:space="preserve">attachments), </w:t>
      </w:r>
    </w:p>
    <w:p w14:paraId="4583ACB4" w14:textId="77777777" w:rsidR="00B821DB" w:rsidRDefault="00B821DB" w:rsidP="00B821DB">
      <w:pPr>
        <w:pStyle w:val="ListParagraph"/>
        <w:numPr>
          <w:ilvl w:val="2"/>
          <w:numId w:val="1"/>
        </w:numPr>
      </w:pPr>
      <w:r>
        <w:t xml:space="preserve">Annex </w:t>
      </w:r>
    </w:p>
    <w:p w14:paraId="02C6FEE2" w14:textId="77777777" w:rsidR="00B821DB" w:rsidRDefault="00B821DB" w:rsidP="00B821DB">
      <w:pPr>
        <w:pStyle w:val="ListParagraph"/>
        <w:numPr>
          <w:ilvl w:val="3"/>
          <w:numId w:val="1"/>
        </w:numPr>
      </w:pPr>
      <w:r>
        <w:t xml:space="preserve">meta, </w:t>
      </w:r>
    </w:p>
    <w:p w14:paraId="7CADAD94" w14:textId="77777777" w:rsidR="00B821DB" w:rsidRDefault="00B821DB" w:rsidP="00B821DB">
      <w:pPr>
        <w:pStyle w:val="ListParagraph"/>
        <w:numPr>
          <w:ilvl w:val="3"/>
          <w:numId w:val="1"/>
        </w:numPr>
      </w:pPr>
      <w:r>
        <w:t xml:space="preserve">preface, </w:t>
      </w:r>
    </w:p>
    <w:p w14:paraId="5CC92BC7" w14:textId="77777777" w:rsidR="00B821DB" w:rsidRDefault="00B821DB" w:rsidP="00B821DB">
      <w:pPr>
        <w:pStyle w:val="ListParagraph"/>
        <w:numPr>
          <w:ilvl w:val="3"/>
          <w:numId w:val="1"/>
        </w:numPr>
      </w:pPr>
      <w:r>
        <w:t xml:space="preserve">mainBody, </w:t>
      </w:r>
    </w:p>
    <w:p w14:paraId="1DD4BBE3" w14:textId="52B6CC34" w:rsidR="00B821DB" w:rsidRDefault="00B821DB" w:rsidP="00B821DB">
      <w:pPr>
        <w:pStyle w:val="ListParagraph"/>
        <w:numPr>
          <w:ilvl w:val="3"/>
          <w:numId w:val="1"/>
        </w:numPr>
      </w:pPr>
      <w:r>
        <w:t>attachments</w:t>
      </w:r>
    </w:p>
    <w:p w14:paraId="4AA81F80" w14:textId="5FD279A8" w:rsidR="00F533EA" w:rsidRDefault="00B821DB" w:rsidP="00B821DB">
      <w:pPr>
        <w:pStyle w:val="ListParagraph"/>
        <w:numPr>
          <w:ilvl w:val="1"/>
          <w:numId w:val="1"/>
        </w:numPr>
      </w:pPr>
      <w:r>
        <w:t>International Agreements</w:t>
      </w:r>
    </w:p>
    <w:p w14:paraId="585FCC45" w14:textId="77777777" w:rsidR="00B821DB" w:rsidRDefault="00B821DB" w:rsidP="00B821DB"/>
    <w:p w14:paraId="5927FDBA" w14:textId="03D55A82" w:rsidR="00B821DB" w:rsidRDefault="00C40F4D" w:rsidP="00B821DB">
      <w:bookmarkStart w:id="1" w:name="OLE_LINK2"/>
      <w:r w:rsidRPr="00C40F4D">
        <w:lastRenderedPageBreak/>
        <w:t>PART 1 - Scope</w:t>
      </w:r>
      <w:r w:rsidR="00B821DB">
        <w:t>:</w:t>
      </w:r>
    </w:p>
    <w:bookmarkEnd w:id="1"/>
    <w:p w14:paraId="59D7747B" w14:textId="6AE09CAE" w:rsidR="00164E16" w:rsidRDefault="00B821DB" w:rsidP="00164E16">
      <w:pPr>
        <w:pStyle w:val="ListParagraph"/>
        <w:numPr>
          <w:ilvl w:val="0"/>
          <w:numId w:val="2"/>
        </w:numPr>
      </w:pPr>
      <w:r>
        <w:t xml:space="preserve">AKN4EU </w:t>
      </w:r>
      <w:r w:rsidR="00164E16">
        <w:t xml:space="preserve">is a </w:t>
      </w:r>
      <w:r w:rsidR="00164E16" w:rsidRPr="00164E16">
        <w:t>localisation of Akom</w:t>
      </w:r>
      <w:r w:rsidR="00164E16">
        <w:t xml:space="preserve">a </w:t>
      </w:r>
      <w:r w:rsidR="00164E16" w:rsidRPr="00164E16">
        <w:t>Ntoso for EU legislatio</w:t>
      </w:r>
      <w:r w:rsidR="00164E16">
        <w:t xml:space="preserve">n which </w:t>
      </w:r>
      <w:r>
        <w:t xml:space="preserve">includes Common vocabulary </w:t>
      </w:r>
      <w:r w:rsidR="00164E16">
        <w:t>(</w:t>
      </w:r>
      <w:r>
        <w:t>CoV)</w:t>
      </w:r>
      <w:r w:rsidR="00164E16">
        <w:t xml:space="preserve"> semantic and logical concepts.</w:t>
      </w:r>
    </w:p>
    <w:p w14:paraId="7C19E061" w14:textId="191BD309" w:rsidR="00164E16" w:rsidRPr="00164E16" w:rsidRDefault="00164E16" w:rsidP="00164E16">
      <w:pPr>
        <w:pStyle w:val="ListParagraph"/>
        <w:numPr>
          <w:ilvl w:val="0"/>
          <w:numId w:val="2"/>
        </w:numPr>
      </w:pPr>
      <w:r>
        <w:t xml:space="preserve">The documentation includes the AKN4EU </w:t>
      </w:r>
      <w:r w:rsidRPr="00164E16">
        <w:t>model for documents, components and annexes</w:t>
      </w:r>
      <w:r>
        <w:t xml:space="preserve"> </w:t>
      </w:r>
      <w:r w:rsidRPr="00164E16">
        <w:t>and the naming convention</w:t>
      </w:r>
      <w:r>
        <w:t xml:space="preserve"> </w:t>
      </w:r>
      <w:r w:rsidRPr="00164E16">
        <w:t>of its AKN4EU files</w:t>
      </w:r>
    </w:p>
    <w:p w14:paraId="659CB4D4" w14:textId="26825425" w:rsidR="00B821DB" w:rsidRDefault="00164E16" w:rsidP="00C40F4D">
      <w:pPr>
        <w:pStyle w:val="ListParagraph"/>
        <w:numPr>
          <w:ilvl w:val="0"/>
          <w:numId w:val="2"/>
        </w:numPr>
      </w:pPr>
      <w:r>
        <w:t xml:space="preserve">For each standardized AKN4EU file or content section, including the </w:t>
      </w:r>
      <w:r w:rsidR="00C40F4D">
        <w:t xml:space="preserve">preamble and the </w:t>
      </w:r>
      <w:r>
        <w:t xml:space="preserve">body, AKN4EU specification </w:t>
      </w:r>
      <w:r w:rsidR="00C40F4D">
        <w:t>details</w:t>
      </w:r>
      <w:r>
        <w:t xml:space="preserve"> the [rules and] content model of legsilative (and other) documents guaranteeing the </w:t>
      </w:r>
      <w:r w:rsidRPr="00164E16">
        <w:t>full use of the ELI URI</w:t>
      </w:r>
      <w:r w:rsidR="00C40F4D">
        <w:t xml:space="preserve"> and </w:t>
      </w:r>
      <w:r w:rsidR="00C40F4D">
        <w:t>specific metadata, with a focus on the context of the Ordinary</w:t>
      </w:r>
      <w:r w:rsidR="00C40F4D">
        <w:t xml:space="preserve"> </w:t>
      </w:r>
      <w:r w:rsidR="00C40F4D">
        <w:t>Legislative Procedure</w:t>
      </w:r>
      <w:r w:rsidR="00C40F4D">
        <w:t xml:space="preserve"> </w:t>
      </w:r>
      <w:r w:rsidR="00C40F4D" w:rsidRPr="00C40F4D">
        <w:rPr>
          <w:highlight w:val="yellow"/>
        </w:rPr>
        <w:t>(source?)</w:t>
      </w:r>
      <w:r w:rsidR="00C40F4D">
        <w:t xml:space="preserve"> </w:t>
      </w:r>
    </w:p>
    <w:p w14:paraId="5658C101" w14:textId="2595407B" w:rsidR="00B821DB" w:rsidRPr="00B821DB" w:rsidRDefault="00C40F4D" w:rsidP="00B821DB">
      <w:r>
        <w:t xml:space="preserve">The </w:t>
      </w:r>
      <w:r w:rsidR="00B821DB" w:rsidRPr="00B821DB">
        <w:rPr>
          <w:b/>
          <w:bCs/>
        </w:rPr>
        <w:t>AKN</w:t>
      </w:r>
      <w:r w:rsidR="00B821DB" w:rsidRPr="00B821DB">
        <w:rPr>
          <w:b/>
          <w:bCs/>
        </w:rPr>
        <w:t>4EU baseline version</w:t>
      </w:r>
      <w:r w:rsidR="00B821DB" w:rsidRPr="00B821DB">
        <w:t xml:space="preserve"> contains the following use cases for the EU acts</w:t>
      </w:r>
      <w:r>
        <w:t xml:space="preserve"> (and proposals thereof):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8"/>
        <w:gridCol w:w="4108"/>
      </w:tblGrid>
      <w:tr w:rsidR="00B821DB" w:rsidRPr="00B821DB" w14:paraId="0365A7ED" w14:textId="77777777" w:rsidTr="00B821DB">
        <w:tc>
          <w:tcPr>
            <w:tcW w:w="4908" w:type="dxa"/>
          </w:tcPr>
          <w:p w14:paraId="7CF4AC04" w14:textId="67438155" w:rsidR="00B821DB" w:rsidRPr="00B821DB" w:rsidRDefault="0059643D" w:rsidP="00F2430F">
            <w:pPr>
              <w:rPr>
                <w:b/>
                <w:bCs/>
              </w:rPr>
            </w:pPr>
            <w:r>
              <w:rPr>
                <w:b/>
                <w:bCs/>
              </w:rPr>
              <w:t>AKN4</w:t>
            </w:r>
            <w:r w:rsidR="00B821DB" w:rsidRPr="00B821DB">
              <w:rPr>
                <w:b/>
                <w:bCs/>
              </w:rPr>
              <w:t>EU Acts</w:t>
            </w:r>
          </w:p>
        </w:tc>
        <w:tc>
          <w:tcPr>
            <w:tcW w:w="4108" w:type="dxa"/>
          </w:tcPr>
          <w:p w14:paraId="5177FE5A" w14:textId="5860ED68" w:rsidR="00B821DB" w:rsidRPr="00B821DB" w:rsidRDefault="0059643D" w:rsidP="00F2430F">
            <w:pPr>
              <w:rPr>
                <w:b/>
                <w:bCs/>
              </w:rPr>
            </w:pPr>
            <w:r>
              <w:rPr>
                <w:b/>
                <w:bCs/>
              </w:rPr>
              <w:t>Swiss equivalent</w:t>
            </w:r>
          </w:p>
        </w:tc>
      </w:tr>
      <w:tr w:rsidR="00B821DB" w:rsidRPr="00B821DB" w14:paraId="56FB5F3B" w14:textId="4532CB19" w:rsidTr="00B821DB">
        <w:tc>
          <w:tcPr>
            <w:tcW w:w="4908" w:type="dxa"/>
          </w:tcPr>
          <w:p w14:paraId="54E7AD97" w14:textId="77777777" w:rsidR="00B821DB" w:rsidRPr="00B821DB" w:rsidRDefault="00B821DB" w:rsidP="00F2430F">
            <w:r w:rsidRPr="00B821DB">
              <w:t>Decision</w:t>
            </w:r>
          </w:p>
        </w:tc>
        <w:tc>
          <w:tcPr>
            <w:tcW w:w="4108" w:type="dxa"/>
          </w:tcPr>
          <w:p w14:paraId="48A660B0" w14:textId="128C6A06" w:rsidR="00B821DB" w:rsidRPr="00B821DB" w:rsidRDefault="00B821DB" w:rsidP="00F2430F">
            <w:r>
              <w:t>Beschluss</w:t>
            </w:r>
          </w:p>
        </w:tc>
      </w:tr>
      <w:tr w:rsidR="00B821DB" w:rsidRPr="00B821DB" w14:paraId="701D60CB" w14:textId="31D81B47" w:rsidTr="00B821DB">
        <w:tc>
          <w:tcPr>
            <w:tcW w:w="4908" w:type="dxa"/>
          </w:tcPr>
          <w:p w14:paraId="0481516C" w14:textId="77777777" w:rsidR="00B821DB" w:rsidRPr="00B821DB" w:rsidRDefault="00B821DB" w:rsidP="00F2430F">
            <w:r w:rsidRPr="00B821DB">
              <w:t>Directive</w:t>
            </w:r>
          </w:p>
        </w:tc>
        <w:tc>
          <w:tcPr>
            <w:tcW w:w="4108" w:type="dxa"/>
          </w:tcPr>
          <w:p w14:paraId="4A9B3661" w14:textId="2FCC2FAA" w:rsidR="00B821DB" w:rsidRPr="00B821DB" w:rsidRDefault="00B821DB" w:rsidP="00F2430F">
            <w:r>
              <w:t>-</w:t>
            </w:r>
          </w:p>
        </w:tc>
      </w:tr>
      <w:tr w:rsidR="00B821DB" w:rsidRPr="00B821DB" w14:paraId="3E31CFD8" w14:textId="3F81FAEF" w:rsidTr="00B821DB">
        <w:tc>
          <w:tcPr>
            <w:tcW w:w="4908" w:type="dxa"/>
          </w:tcPr>
          <w:p w14:paraId="32172D4E" w14:textId="77777777" w:rsidR="00B821DB" w:rsidRPr="00B821DB" w:rsidRDefault="00B821DB" w:rsidP="00F2430F">
            <w:r w:rsidRPr="00B821DB">
              <w:t>Regulation</w:t>
            </w:r>
          </w:p>
        </w:tc>
        <w:tc>
          <w:tcPr>
            <w:tcW w:w="4108" w:type="dxa"/>
          </w:tcPr>
          <w:p w14:paraId="7884788A" w14:textId="2610EFA6" w:rsidR="00B821DB" w:rsidRPr="00B821DB" w:rsidRDefault="00B821DB" w:rsidP="00F2430F">
            <w:r>
              <w:t>Erlass oder Gesetzestext</w:t>
            </w:r>
          </w:p>
        </w:tc>
      </w:tr>
      <w:tr w:rsidR="00B821DB" w:rsidRPr="00B821DB" w14:paraId="3C546C6A" w14:textId="0D113E8C" w:rsidTr="00B821DB">
        <w:tc>
          <w:tcPr>
            <w:tcW w:w="4908" w:type="dxa"/>
          </w:tcPr>
          <w:p w14:paraId="17FF6863" w14:textId="77777777" w:rsidR="00B821DB" w:rsidRPr="00B821DB" w:rsidRDefault="00B821DB" w:rsidP="00F2430F">
            <w:r w:rsidRPr="00B821DB">
              <w:t>Implementing Decision</w:t>
            </w:r>
          </w:p>
        </w:tc>
        <w:tc>
          <w:tcPr>
            <w:tcW w:w="4108" w:type="dxa"/>
          </w:tcPr>
          <w:p w14:paraId="69993070" w14:textId="6FA96A17" w:rsidR="00B821DB" w:rsidRPr="00B821DB" w:rsidRDefault="00565529" w:rsidP="00F2430F">
            <w:r>
              <w:t>-</w:t>
            </w:r>
          </w:p>
        </w:tc>
      </w:tr>
    </w:tbl>
    <w:p w14:paraId="47E53DE9" w14:textId="5726561F" w:rsidR="00B821DB" w:rsidRDefault="00B821DB" w:rsidP="00B821DB"/>
    <w:p w14:paraId="09D90854" w14:textId="2E0A6CBF" w:rsidR="00C40F4D" w:rsidRPr="00C40F4D" w:rsidRDefault="00C40F4D" w:rsidP="00C40F4D">
      <w:r>
        <w:t xml:space="preserve">This includes international agreements, texts of the European Parliament and </w:t>
      </w:r>
      <w:r>
        <w:t xml:space="preserve">proposals </w:t>
      </w:r>
      <w:r>
        <w:t>of acts of the European Council</w:t>
      </w:r>
      <w:r>
        <w:t xml:space="preserve"> Financial Statements</w:t>
      </w:r>
      <w:r>
        <w:t>.</w:t>
      </w:r>
      <w:r w:rsidR="00565529">
        <w:t xml:space="preserve"> </w:t>
      </w:r>
      <w:r w:rsidRPr="00C40F4D">
        <w:t>In addition</w:t>
      </w:r>
      <w:r>
        <w:t xml:space="preserve"> the  </w:t>
      </w:r>
      <w:r w:rsidRPr="00C40F4D">
        <w:t>low level structure for the figure, the mathematical formula and the tables</w:t>
      </w:r>
      <w:r>
        <w:t xml:space="preserve"> and </w:t>
      </w:r>
      <w:r w:rsidRPr="00C40F4D">
        <w:t>mark-up for a table of content or a table of annexes</w:t>
      </w:r>
      <w:r>
        <w:t xml:space="preserve"> as well as </w:t>
      </w:r>
      <w:r w:rsidRPr="00C40F4D">
        <w:t>language code (2-letter and 3-letter) for multilingual document</w:t>
      </w:r>
      <w:r>
        <w:t>s are covere</w:t>
      </w:r>
      <w:r w:rsidR="00565529">
        <w:t>d.</w:t>
      </w:r>
    </w:p>
    <w:p w14:paraId="474E65A2" w14:textId="69D323C5" w:rsidR="00565529" w:rsidRDefault="00565529" w:rsidP="00B821DB">
      <w:bookmarkStart w:id="2" w:name="OLE_LINK5"/>
      <w:r w:rsidRPr="00565529">
        <w:rPr>
          <w:highlight w:val="yellow"/>
        </w:rPr>
        <w:t xml:space="preserve">The Swiss equivalent </w:t>
      </w:r>
      <w:r>
        <w:t xml:space="preserve">to AKN4EU </w:t>
      </w:r>
      <w:bookmarkEnd w:id="2"/>
      <w:r w:rsidR="0059643D">
        <w:t xml:space="preserve">acts </w:t>
      </w:r>
      <w:r>
        <w:t xml:space="preserve">should include </w:t>
      </w:r>
      <w:r w:rsidR="00C95DA6">
        <w:t>Regulation (Erlasse und Gesetzestexte</w:t>
      </w:r>
      <w:r w:rsidR="00C95DA6">
        <w:t xml:space="preserve">), </w:t>
      </w:r>
      <w:r>
        <w:t>here used as umbrella term for texts, acts and proposals of legislative bodies, in the widest sense as described in the original AKN4EU specification</w:t>
      </w:r>
      <w:r w:rsidR="00C95DA6">
        <w:t xml:space="preserve"> for EU legislation</w:t>
      </w:r>
      <w:r>
        <w:t>. Decisions (Beschluss) as well as Implementing Decisions (Ausführungsbeschlüsse) exist in Swiss law, however, the Swiss federal</w:t>
      </w:r>
      <w:r w:rsidRPr="00565529">
        <w:t xml:space="preserve"> parliament does not use the </w:t>
      </w:r>
      <w:r w:rsidR="00C95DA6">
        <w:t>latter term</w:t>
      </w:r>
      <w:r w:rsidRPr="00565529">
        <w:t xml:space="preserve"> as a formal category</w:t>
      </w:r>
      <w:r w:rsidR="00C95DA6">
        <w:t>; usually the federal council enacts ordinances (Verordnung)</w:t>
      </w:r>
      <w:r>
        <w:t xml:space="preserve">. EU Directives, while not directly applicable to Swiss law, are translated into national law. </w:t>
      </w:r>
      <w:r>
        <w:t xml:space="preserve">Therefore only the categories Decision and Regulation are </w:t>
      </w:r>
      <w:r w:rsidR="00C95DA6">
        <w:t xml:space="preserve">directly </w:t>
      </w:r>
      <w:r>
        <w:t>relevant</w:t>
      </w:r>
      <w:r>
        <w:t xml:space="preserve"> for the Swiss equivalent of AKN4EU</w:t>
      </w:r>
      <w:r w:rsidR="00C95DA6">
        <w:t xml:space="preserve"> whereas Directives are defined directly by AKN4EU</w:t>
      </w:r>
      <w:r>
        <w:t>.</w:t>
      </w:r>
    </w:p>
    <w:p w14:paraId="0B904FE2" w14:textId="77777777" w:rsidR="00565529" w:rsidRDefault="00565529" w:rsidP="00B821DB"/>
    <w:p w14:paraId="1A97ADE6" w14:textId="1E946969" w:rsidR="00565529" w:rsidRDefault="00565529" w:rsidP="00565529">
      <w:r w:rsidRPr="00C40F4D">
        <w:t xml:space="preserve">PART 1 - </w:t>
      </w:r>
      <w:r w:rsidR="0059643D" w:rsidRPr="0059643D">
        <w:t>model for documents,</w:t>
      </w:r>
      <w:r w:rsidR="0059643D">
        <w:t xml:space="preserve"> </w:t>
      </w:r>
      <w:r w:rsidR="0059643D" w:rsidRPr="0059643D">
        <w:t>components, annexes</w:t>
      </w:r>
    </w:p>
    <w:p w14:paraId="138E1E41" w14:textId="0EBBA3CD" w:rsidR="007D55A3" w:rsidRDefault="0059643D" w:rsidP="007D55A3">
      <w:r>
        <w:t>A AKN4EU document consis</w:t>
      </w:r>
      <w:r w:rsidR="00D1488F">
        <w:t>ts</w:t>
      </w:r>
      <w:r>
        <w:t xml:space="preserve"> of a cover page and one or more components. A component can be an explanatory memorandum or a legal text (Regulation), among </w:t>
      </w:r>
      <w:r>
        <w:lastRenderedPageBreak/>
        <w:t>others, which can be seen as subdocuments with their own structure</w:t>
      </w:r>
      <w:r w:rsidR="007D55A3">
        <w:t xml:space="preserve"> and AKN document type. </w:t>
      </w:r>
    </w:p>
    <w:p w14:paraId="7E481295" w14:textId="670BCAD0" w:rsidR="007D55A3" w:rsidRDefault="007D55A3" w:rsidP="007D55A3">
      <w:r>
        <w:t xml:space="preserve">This corresponds to </w:t>
      </w:r>
      <w:r w:rsidRPr="007D55A3">
        <w:t>Akoma Ntoso</w:t>
      </w:r>
      <w:r>
        <w:t xml:space="preserve"> which</w:t>
      </w:r>
      <w:r w:rsidRPr="007D55A3">
        <w:t xml:space="preserve"> is a standard for the mark-up of documents: </w:t>
      </w:r>
      <w:r>
        <w:t>T</w:t>
      </w:r>
      <w:r w:rsidRPr="007D55A3">
        <w:t>he immediate subelement</w:t>
      </w:r>
      <w:r>
        <w:t xml:space="preserve"> of </w:t>
      </w:r>
      <w:r w:rsidRPr="007D55A3">
        <w:t>&lt;akomaNtoso&gt; is a document type element.</w:t>
      </w:r>
      <w:r>
        <w:t xml:space="preserve"> </w:t>
      </w:r>
      <w:r w:rsidRPr="007D55A3">
        <w:t>Each document type element has a mandatory attribute @name</w:t>
      </w:r>
      <w:r w:rsidR="008C57CF">
        <w:rPr>
          <w:rStyle w:val="FootnoteReference"/>
        </w:rPr>
        <w:footnoteReference w:id="1"/>
      </w:r>
      <w:r w:rsidRPr="007D55A3">
        <w:t xml:space="preserve"> to specify the type of document</w:t>
      </w:r>
      <w:r>
        <w:t xml:space="preserve"> </w:t>
      </w:r>
      <w:r w:rsidRPr="007D55A3">
        <w:t>(&lt;act&gt;, &lt;bill&gt;, &lt;doc&gt;, …)</w:t>
      </w:r>
      <w:r>
        <w:t xml:space="preserve"> or</w:t>
      </w:r>
      <w:r w:rsidRPr="007D55A3">
        <w:t xml:space="preserve"> collection of documents </w:t>
      </w:r>
      <w:bookmarkStart w:id="3" w:name="OLE_LINK4"/>
      <w:r w:rsidRPr="007D55A3">
        <w:t>(&lt;documentCollection&gt;</w:t>
      </w:r>
      <w:bookmarkEnd w:id="3"/>
      <w:r w:rsidRPr="007D55A3">
        <w:t>).</w:t>
      </w:r>
      <w:r>
        <w:t xml:space="preserve"> </w:t>
      </w:r>
      <w:r w:rsidRPr="007D55A3">
        <w:t>The main content of the &lt;documentCollection&gt; is the &lt;collectionBody&gt;. It is composed of a list of</w:t>
      </w:r>
      <w:r>
        <w:t xml:space="preserve"> </w:t>
      </w:r>
      <w:r w:rsidRPr="007D55A3">
        <w:t>&lt;component&gt; elements, each of which allowing to link to the corresponding subdocument or put the</w:t>
      </w:r>
      <w:r>
        <w:t xml:space="preserve"> </w:t>
      </w:r>
      <w:r w:rsidRPr="007D55A3">
        <w:t>content.</w:t>
      </w:r>
    </w:p>
    <w:p w14:paraId="3E3EF5A8" w14:textId="526E2845" w:rsidR="007D55A3" w:rsidRPr="007D55A3" w:rsidRDefault="007D55A3" w:rsidP="007D55A3">
      <w:r>
        <w:t xml:space="preserve">The structural model </w:t>
      </w:r>
      <w:r w:rsidR="008C57CF">
        <w:t xml:space="preserve">of an </w:t>
      </w:r>
      <w:r w:rsidR="008C57CF">
        <w:t>an AKN4EU file</w:t>
      </w:r>
      <w:r w:rsidR="008C57CF">
        <w:t xml:space="preserve"> for </w:t>
      </w:r>
      <w:r w:rsidR="008C57CF">
        <w:t>“official documents”</w:t>
      </w:r>
      <w:r w:rsidR="008C57CF">
        <w:t xml:space="preserve"> </w:t>
      </w:r>
      <w:r>
        <w:t xml:space="preserve">uses </w:t>
      </w:r>
      <w:r w:rsidRPr="007D55A3">
        <w:t>&lt;documentCollection&gt;</w:t>
      </w:r>
      <w:r>
        <w:t xml:space="preserve">. </w:t>
      </w:r>
      <w:r w:rsidRPr="007D55A3">
        <w:t>Each subdocument MUST be referenced inside the &lt;documentCollection&gt; in a specific</w:t>
      </w:r>
      <w:r>
        <w:t xml:space="preserve"> </w:t>
      </w:r>
      <w:r w:rsidRPr="007D55A3">
        <w:t>&lt;component&gt; element</w:t>
      </w:r>
      <w:r>
        <w:t xml:space="preserve">. </w:t>
      </w:r>
      <w:r w:rsidRPr="007D55A3">
        <w:t>One AKN4EU file MUST contain not more than ONE subdocument content.</w:t>
      </w:r>
      <w:r>
        <w:t xml:space="preserve"> </w:t>
      </w:r>
      <w:r w:rsidRPr="007D55A3">
        <w:t xml:space="preserve">Every subdocument can have its own document type </w:t>
      </w:r>
      <w:bookmarkStart w:id="4" w:name="OLE_LINK7"/>
      <w:r w:rsidRPr="007D55A3">
        <w:t>(&lt;act&gt;, &lt;bill&gt; and &lt;doc&gt; or even</w:t>
      </w:r>
      <w:r>
        <w:t xml:space="preserve"> </w:t>
      </w:r>
      <w:r w:rsidRPr="007D55A3">
        <w:t>&lt;documentCollection&gt;)</w:t>
      </w:r>
      <w:r>
        <w:t>.</w:t>
      </w:r>
      <w:bookmarkEnd w:id="4"/>
    </w:p>
    <w:p w14:paraId="4B3CC7C4" w14:textId="2EEEEA25" w:rsidR="007D55A3" w:rsidRPr="007D55A3" w:rsidRDefault="00D1488F" w:rsidP="007D55A3">
      <w:r w:rsidRPr="00D1488F">
        <w:drawing>
          <wp:inline distT="0" distB="0" distL="0" distR="0" wp14:anchorId="1E995453" wp14:editId="47195355">
            <wp:extent cx="5731510" cy="3373120"/>
            <wp:effectExtent l="0" t="0" r="0" b="5080"/>
            <wp:docPr id="185442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29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31C6" w14:textId="46107665" w:rsidR="003E5991" w:rsidRPr="007D55A3" w:rsidRDefault="003E5991" w:rsidP="003E5991">
      <w:bookmarkStart w:id="5" w:name="OLE_LINK8"/>
      <w:r w:rsidRPr="00565529">
        <w:rPr>
          <w:highlight w:val="yellow"/>
        </w:rPr>
        <w:t xml:space="preserve">The Swiss equivalent </w:t>
      </w:r>
      <w:r>
        <w:t>to the AKN4EU model</w:t>
      </w:r>
      <w:r w:rsidR="00E4633C">
        <w:t xml:space="preserve"> for d</w:t>
      </w:r>
      <w:r w:rsidR="00E4633C" w:rsidRPr="00E4633C">
        <w:t>ocuments and components</w:t>
      </w:r>
      <w:r>
        <w:t xml:space="preserve"> </w:t>
      </w:r>
      <w:bookmarkEnd w:id="5"/>
      <w:r>
        <w:t>usually does not require a cover page. The main component is a legal text</w:t>
      </w:r>
      <w:r>
        <w:t>:</w:t>
      </w:r>
      <w:r>
        <w:t xml:space="preserve"> </w:t>
      </w:r>
      <w:r>
        <w:t>A</w:t>
      </w:r>
      <w:r>
        <w:t xml:space="preserve">s explanatory memorandums are part of the </w:t>
      </w:r>
      <w:r w:rsidRPr="00D1488F">
        <w:t>Federal Council Dispatch</w:t>
      </w:r>
      <w:r>
        <w:t xml:space="preserve"> (Botschaft des Bundesrats</w:t>
      </w:r>
      <w:r>
        <w:rPr>
          <w:rStyle w:val="FootnoteReference"/>
        </w:rPr>
        <w:footnoteReference w:id="2"/>
      </w:r>
      <w:r>
        <w:t xml:space="preserve">) or the </w:t>
      </w:r>
      <w:r w:rsidRPr="00D1488F">
        <w:t>Explanatory report</w:t>
      </w:r>
      <w:r>
        <w:t xml:space="preserve"> (Erläuternder Bericht des Bundesrats) </w:t>
      </w:r>
      <w:r>
        <w:t>in Swiss legislation they are not included in the the</w:t>
      </w:r>
      <w:r>
        <w:t xml:space="preserve"> legal act itslef, but </w:t>
      </w:r>
      <w:r>
        <w:t>its own</w:t>
      </w:r>
      <w:r>
        <w:t xml:space="preserve"> separate document. In terms of </w:t>
      </w:r>
      <w:r>
        <w:lastRenderedPageBreak/>
        <w:t xml:space="preserve">types of documents Swiss legislation can include </w:t>
      </w:r>
      <w:r>
        <w:rPr>
          <w:kern w:val="0"/>
          <w14:ligatures w14:val="none"/>
        </w:rPr>
        <w:t>&lt;act&gt;, &lt;bill&gt; and &lt;doc&gt; or even &lt;documentCollection&gt;</w:t>
      </w:r>
      <w:r>
        <w:rPr>
          <w:kern w:val="0"/>
          <w14:ligatures w14:val="none"/>
        </w:rPr>
        <w:t xml:space="preserve"> and therefore </w:t>
      </w:r>
      <w:r>
        <w:t>follow</w:t>
      </w:r>
      <w:r>
        <w:t>s</w:t>
      </w:r>
      <w:r>
        <w:t xml:space="preserve"> the guidelines for AKN4EU.</w:t>
      </w:r>
    </w:p>
    <w:p w14:paraId="0D728F70" w14:textId="77777777" w:rsidR="003E5991" w:rsidRDefault="003E5991" w:rsidP="008C57CF">
      <w:r>
        <w:t xml:space="preserve">Other than components, EU acts can include attachments such as </w:t>
      </w:r>
      <w:bookmarkStart w:id="6" w:name="OLE_LINK9"/>
      <w:r>
        <w:t xml:space="preserve">annexes, table of annexes </w:t>
      </w:r>
      <w:r>
        <w:t>or other EU acts</w:t>
      </w:r>
      <w:bookmarkEnd w:id="6"/>
      <w:r>
        <w:t>. An</w:t>
      </w:r>
      <w:r w:rsidR="008C57CF">
        <w:t xml:space="preserve"> </w:t>
      </w:r>
      <w:r w:rsidR="008C57CF" w:rsidRPr="00A473DB">
        <w:rPr>
          <w:b/>
          <w:bCs/>
        </w:rPr>
        <w:t>annex</w:t>
      </w:r>
      <w:r w:rsidR="008C57CF">
        <w:t xml:space="preserve"> (in the strict sende) is</w:t>
      </w:r>
      <w:r w:rsidR="008C57CF" w:rsidRPr="008C57CF">
        <w:t xml:space="preserve"> </w:t>
      </w:r>
      <w:r w:rsidR="008C57CF">
        <w:t>‘</w:t>
      </w:r>
      <w:r w:rsidR="008C57CF" w:rsidRPr="008C57CF">
        <w:t>used to present material separately from the body of the enacting terms</w:t>
      </w:r>
      <w:r>
        <w:t xml:space="preserve"> [of an act]</w:t>
      </w:r>
      <w:r w:rsidR="008C57CF" w:rsidRPr="008C57CF">
        <w:t>,</w:t>
      </w:r>
      <w:r w:rsidR="008C57CF">
        <w:t xml:space="preserve"> </w:t>
      </w:r>
      <w:r w:rsidR="008C57CF" w:rsidRPr="008C57CF">
        <w:t>because it is voluminous or technical or both. Examples of such material might be rules to be applied by</w:t>
      </w:r>
      <w:r w:rsidR="008C57CF">
        <w:t xml:space="preserve"> </w:t>
      </w:r>
      <w:r w:rsidR="008C57CF" w:rsidRPr="008C57CF">
        <w:t>customs officers, doctors or veterinarians (such as chemical analysis techniques, sampling methods and</w:t>
      </w:r>
      <w:r w:rsidR="008C57CF">
        <w:t xml:space="preserve"> </w:t>
      </w:r>
      <w:r w:rsidR="008C57CF" w:rsidRPr="008C57CF">
        <w:t>forms to be used), lists of products, tables of figures, plans and drawings, etc.</w:t>
      </w:r>
      <w:r w:rsidR="008C57CF">
        <w:t xml:space="preserve"> </w:t>
      </w:r>
      <w:r w:rsidR="008C57CF" w:rsidRPr="008C57CF">
        <w:t xml:space="preserve">An annex is by its very nature an integral part of the act, </w:t>
      </w:r>
      <w:r>
        <w:t xml:space="preserve">and </w:t>
      </w:r>
      <w:r w:rsidR="008C57CF" w:rsidRPr="008C57CF">
        <w:t>therefore</w:t>
      </w:r>
      <w:r>
        <w:t xml:space="preserve"> there is</w:t>
      </w:r>
      <w:r w:rsidR="008C57CF" w:rsidRPr="008C57CF">
        <w:t xml:space="preserve"> no need to state this in</w:t>
      </w:r>
      <w:r w:rsidR="008C57CF">
        <w:t xml:space="preserve"> </w:t>
      </w:r>
      <w:r w:rsidR="008C57CF" w:rsidRPr="008C57CF">
        <w:t>the provision referring to the annex.’</w:t>
      </w:r>
      <w:r w:rsidR="00A473DB">
        <w:t xml:space="preserve"> </w:t>
      </w:r>
    </w:p>
    <w:p w14:paraId="0E741E46" w14:textId="17FE2F8A" w:rsidR="008C57CF" w:rsidRPr="008C57CF" w:rsidRDefault="008C57CF" w:rsidP="008C57CF">
      <w:r w:rsidRPr="008C57CF">
        <w:t xml:space="preserve">In </w:t>
      </w:r>
      <w:r w:rsidRPr="00A473DB">
        <w:rPr>
          <w:b/>
          <w:bCs/>
        </w:rPr>
        <w:t>Akoma Ntoso</w:t>
      </w:r>
      <w:r w:rsidRPr="008C57CF">
        <w:t xml:space="preserve">, the content of, or reference to </w:t>
      </w:r>
      <w:r w:rsidRPr="00A473DB">
        <w:t>annexes</w:t>
      </w:r>
      <w:r w:rsidRPr="008C57CF">
        <w:t xml:space="preserve"> is put in the &lt;attachments&gt; section of a</w:t>
      </w:r>
      <w:r>
        <w:t xml:space="preserve"> </w:t>
      </w:r>
      <w:r w:rsidRPr="008C57CF">
        <w:t>document type element. &lt;attachments&gt; is composed of a list of &lt;attachment&gt; elements, each of these</w:t>
      </w:r>
      <w:r>
        <w:t xml:space="preserve"> </w:t>
      </w:r>
      <w:r w:rsidRPr="008C57CF">
        <w:t>elements can contain the link to, (or the content) of the corresponding annex.</w:t>
      </w:r>
      <w:r w:rsidR="00A473DB">
        <w:t xml:space="preserve"> </w:t>
      </w:r>
    </w:p>
    <w:p w14:paraId="5B52F81C" w14:textId="6C42ED85" w:rsidR="0040602B" w:rsidRPr="0040602B" w:rsidRDefault="008C57CF" w:rsidP="0040602B">
      <w:bookmarkStart w:id="7" w:name="OLE_LINK6"/>
      <w:r w:rsidRPr="008C57CF">
        <w:t>In AKN4EU</w:t>
      </w:r>
      <w:bookmarkEnd w:id="7"/>
      <w:r w:rsidRPr="008C57CF">
        <w:t>, the content of an annex MUST be in a &lt;doc name=”ANNEX”&gt;</w:t>
      </w:r>
      <w:r>
        <w:t xml:space="preserve"> and </w:t>
      </w:r>
      <w:r w:rsidRPr="008C57CF">
        <w:t>the content of each annex is in a specific AKN4EU file</w:t>
      </w:r>
      <w:r w:rsidR="0040602B">
        <w:t xml:space="preserve">. </w:t>
      </w:r>
      <w:r w:rsidR="0040602B" w:rsidRPr="0040602B">
        <w:t>Each annex MUST be referenced in the master document in an &lt;attachment&gt; element, using a</w:t>
      </w:r>
      <w:r w:rsidR="0040602B">
        <w:t xml:space="preserve"> </w:t>
      </w:r>
      <w:r w:rsidR="0040602B" w:rsidRPr="0040602B">
        <w:t>&lt;documentRef&gt; element.</w:t>
      </w:r>
    </w:p>
    <w:p w14:paraId="75DCF92B" w14:textId="7F78FD9E" w:rsidR="008C57CF" w:rsidRPr="0040602B" w:rsidRDefault="0040602B" w:rsidP="007D55A3">
      <w:r w:rsidRPr="0040602B">
        <w:drawing>
          <wp:inline distT="0" distB="0" distL="0" distR="0" wp14:anchorId="3193853B" wp14:editId="019D0297">
            <wp:extent cx="5731510" cy="3035300"/>
            <wp:effectExtent l="0" t="0" r="0" b="0"/>
            <wp:docPr id="51702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23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4793" w14:textId="1C7DA559" w:rsidR="00A473DB" w:rsidRDefault="00A473DB" w:rsidP="00A473DB">
      <w:r w:rsidRPr="00A473DB">
        <w:t>Sometimes, when there are a lot of annexes, all the annexes are preceded by a “table of annexes”</w:t>
      </w:r>
      <w:r>
        <w:t xml:space="preserve"> (similar to a table of contents)</w:t>
      </w:r>
      <w:r w:rsidRPr="00A473DB">
        <w:t>.</w:t>
      </w:r>
      <w:r>
        <w:t xml:space="preserve"> </w:t>
      </w:r>
      <w:r w:rsidRPr="008C57CF">
        <w:t>In AKN4EU</w:t>
      </w:r>
      <w:r>
        <w:t>, this is represented as</w:t>
      </w:r>
      <w:r w:rsidRPr="00A473DB">
        <w:t xml:space="preserve"> &lt;attachment&gt; element</w:t>
      </w:r>
      <w:r>
        <w:t xml:space="preserve"> (MUST) </w:t>
      </w:r>
      <w:r w:rsidRPr="00A473DB">
        <w:t>in the master document</w:t>
      </w:r>
      <w:r>
        <w:t xml:space="preserve">. </w:t>
      </w:r>
      <w:r w:rsidRPr="00A473DB">
        <w:t>The &lt;attachment&gt; contains an &lt;interstitial&gt; element containing table of content</w:t>
      </w:r>
      <w:r>
        <w:t>s</w:t>
      </w:r>
      <w:r w:rsidRPr="00A473DB">
        <w:t>.</w:t>
      </w:r>
      <w:r>
        <w:rPr>
          <w:rStyle w:val="FootnoteReference"/>
        </w:rPr>
        <w:footnoteReference w:id="3"/>
      </w:r>
    </w:p>
    <w:p w14:paraId="185CE9DD" w14:textId="7C577066" w:rsidR="00A473DB" w:rsidRPr="00A473DB" w:rsidRDefault="00A473DB" w:rsidP="00A473DB">
      <w:r w:rsidRPr="00A473DB">
        <w:lastRenderedPageBreak/>
        <w:drawing>
          <wp:inline distT="0" distB="0" distL="0" distR="0" wp14:anchorId="417FFF2D" wp14:editId="004CD4B8">
            <wp:extent cx="5731510" cy="3230245"/>
            <wp:effectExtent l="0" t="0" r="0" b="0"/>
            <wp:docPr id="68809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90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C274" w14:textId="4AF0634C" w:rsidR="00A473DB" w:rsidRPr="00A473DB" w:rsidRDefault="00A473DB" w:rsidP="00A473DB">
      <w:r w:rsidRPr="00A473DB">
        <w:drawing>
          <wp:inline distT="0" distB="0" distL="0" distR="0" wp14:anchorId="031E3979" wp14:editId="793576B5">
            <wp:extent cx="5731510" cy="1294130"/>
            <wp:effectExtent l="0" t="0" r="0" b="1270"/>
            <wp:docPr id="15036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5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A82F" w14:textId="0F3AE537" w:rsidR="00883CCA" w:rsidRDefault="00883CCA" w:rsidP="00883CCA">
      <w:r w:rsidRPr="00883CCA">
        <w:t>In AKN4EU</w:t>
      </w:r>
      <w:r>
        <w:t>, a</w:t>
      </w:r>
      <w:r w:rsidRPr="00883CCA">
        <w:t>n EU act or bill can also have</w:t>
      </w:r>
      <w:r>
        <w:t xml:space="preserve"> one or more</w:t>
      </w:r>
      <w:r w:rsidRPr="00883CCA">
        <w:t xml:space="preserve"> attachment(s) containing other legal acts</w:t>
      </w:r>
      <w:r>
        <w:t xml:space="preserve">. </w:t>
      </w:r>
      <w:r w:rsidRPr="00883CCA">
        <w:t>These are “attachments” and not “annexes”</w:t>
      </w:r>
      <w:r>
        <w:t xml:space="preserve">. </w:t>
      </w:r>
    </w:p>
    <w:p w14:paraId="03E9FE45" w14:textId="284C5DAB" w:rsidR="00A473DB" w:rsidRPr="00883CCA" w:rsidRDefault="00883CCA" w:rsidP="007D55A3">
      <w:r w:rsidRPr="00883CCA">
        <w:lastRenderedPageBreak/>
        <w:drawing>
          <wp:inline distT="0" distB="0" distL="0" distR="0" wp14:anchorId="14B22DFC" wp14:editId="38EB6CF2">
            <wp:extent cx="5731510" cy="3743325"/>
            <wp:effectExtent l="0" t="0" r="0" b="3175"/>
            <wp:docPr id="154547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74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81B8" w14:textId="3E231D3E" w:rsidR="00E4633C" w:rsidRPr="00883CCA" w:rsidRDefault="00E4633C" w:rsidP="00E4633C">
      <w:bookmarkStart w:id="8" w:name="OLE_LINK11"/>
      <w:bookmarkStart w:id="9" w:name="OLE_LINK12"/>
      <w:r w:rsidRPr="00565529">
        <w:rPr>
          <w:highlight w:val="yellow"/>
        </w:rPr>
        <w:t xml:space="preserve">The Swiss equivalent </w:t>
      </w:r>
      <w:bookmarkEnd w:id="8"/>
      <w:r>
        <w:t xml:space="preserve">to the AKN4EU </w:t>
      </w:r>
      <w:bookmarkEnd w:id="9"/>
      <w:r>
        <w:t>model</w:t>
      </w:r>
      <w:r>
        <w:t xml:space="preserve"> for documents and components</w:t>
      </w:r>
      <w:r>
        <w:t xml:space="preserve"> includes annexes, table of annexes and attached acts as well.</w:t>
      </w:r>
    </w:p>
    <w:p w14:paraId="2DDDA4F1" w14:textId="28188FA4" w:rsidR="00F909EB" w:rsidRPr="00F909EB" w:rsidRDefault="00E4633C" w:rsidP="00F909EB">
      <w:pPr>
        <w:rPr>
          <w:color w:val="000000" w:themeColor="text1"/>
        </w:rPr>
      </w:pPr>
      <w:r>
        <w:t>The AKN4EU file naming convention includes handling of linguistic variants</w:t>
      </w:r>
      <w:r w:rsidR="00F565B1">
        <w:t xml:space="preserve"> </w:t>
      </w:r>
      <w:r w:rsidR="00F565B1" w:rsidRPr="00F565B1">
        <w:t>issued in the legal decision-making process</w:t>
      </w:r>
      <w:r>
        <w:t>; an AKN4EU manifest is contained in a file of the format ZIP archive.</w:t>
      </w:r>
      <w:r w:rsidR="00F565B1">
        <w:t xml:space="preserve"> </w:t>
      </w:r>
      <w:r w:rsidR="00F565B1" w:rsidRPr="00F565B1">
        <w:t>It must contain at least an AKN4EU file starting with the</w:t>
      </w:r>
      <w:r w:rsidR="00F565B1">
        <w:t xml:space="preserve"> </w:t>
      </w:r>
      <w:r w:rsidR="00F565B1" w:rsidRPr="00F565B1">
        <w:t>prefix ‘main</w:t>
      </w:r>
      <w:r w:rsidR="00F565B1">
        <w:t>-</w:t>
      </w:r>
      <w:r w:rsidR="00F565B1" w:rsidRPr="00F565B1">
        <w:t>’,</w:t>
      </w:r>
      <w:r w:rsidR="000E6236">
        <w:t xml:space="preserve"> of the type </w:t>
      </w:r>
      <w:r w:rsidR="000E6236" w:rsidRPr="000E6236">
        <w:t>&lt;documentCollection&gt;</w:t>
      </w:r>
      <w:r w:rsidR="00F565B1" w:rsidRPr="00F565B1">
        <w:t xml:space="preserve"> </w:t>
      </w:r>
      <w:r w:rsidR="000E6236">
        <w:t>(e</w:t>
      </w:r>
      <w:r w:rsidR="000E6236" w:rsidRPr="000E6236">
        <w:t>ach main component of a business document is a specific AKN4EU</w:t>
      </w:r>
      <w:r w:rsidR="000E6236">
        <w:t xml:space="preserve"> file) </w:t>
      </w:r>
      <w:r w:rsidR="00F565B1" w:rsidRPr="00F565B1">
        <w:t>and may contain other associated files</w:t>
      </w:r>
      <w:r w:rsidR="00234960">
        <w:rPr>
          <w:rStyle w:val="FootnoteReference"/>
        </w:rPr>
        <w:footnoteReference w:id="4"/>
      </w:r>
      <w:r w:rsidR="00F565B1" w:rsidRPr="00F565B1">
        <w:t xml:space="preserve"> and subfolders</w:t>
      </w:r>
      <w:r w:rsidR="00234960">
        <w:rPr>
          <w:rStyle w:val="FootnoteReference"/>
        </w:rPr>
        <w:footnoteReference w:id="5"/>
      </w:r>
      <w:r w:rsidR="00E16E31">
        <w:t xml:space="preserve"> (</w:t>
      </w:r>
      <w:r w:rsidR="000E6236">
        <w:t xml:space="preserve">together the </w:t>
      </w:r>
      <w:r w:rsidR="00E16E31">
        <w:t>AKN4EU_LEG package).</w:t>
      </w:r>
      <w:r w:rsidR="00234960">
        <w:t xml:space="preserve"> </w:t>
      </w:r>
      <w:r w:rsidR="00234960" w:rsidRPr="00234960">
        <w:t>All AKN4EU files and referenced resources like images must be placed at the same level (root directory)</w:t>
      </w:r>
      <w:r w:rsidR="00234960">
        <w:t xml:space="preserve">. </w:t>
      </w:r>
      <w:r w:rsidR="00E16E31">
        <w:t>The</w:t>
      </w:r>
      <w:r w:rsidR="00E16E31" w:rsidRPr="00E16E31">
        <w:t xml:space="preserve"> name of any AKN4EU file must comprise information on its language</w:t>
      </w:r>
      <w:r w:rsidR="00E16E31">
        <w:t xml:space="preserve"> (</w:t>
      </w:r>
      <w:r w:rsidR="00E16E31" w:rsidRPr="00E16E31">
        <w:t>language code</w:t>
      </w:r>
      <w:r w:rsidR="00E16E31">
        <w:t>) and translation must contain</w:t>
      </w:r>
      <w:r w:rsidR="00E16E31" w:rsidRPr="00E16E31">
        <w:t xml:space="preserve"> information regarding the translation (original</w:t>
      </w:r>
      <w:r w:rsidR="00E16E31">
        <w:t xml:space="preserve"> </w:t>
      </w:r>
      <w:r w:rsidR="00E16E31" w:rsidRPr="00E16E31">
        <w:t>language, version of translation)</w:t>
      </w:r>
      <w:r w:rsidR="00E16E31">
        <w:t>.</w:t>
      </w:r>
      <w:r w:rsidR="00234960">
        <w:rPr>
          <w:rStyle w:val="FootnoteReference"/>
        </w:rPr>
        <w:footnoteReference w:id="6"/>
      </w:r>
      <w:r w:rsidR="00234960">
        <w:t xml:space="preserve"> </w:t>
      </w:r>
      <w:r w:rsidR="00F909EB">
        <w:t xml:space="preserve"> </w:t>
      </w:r>
      <w:r w:rsidR="00234960" w:rsidRPr="00234960">
        <w:rPr>
          <w:color w:val="000000" w:themeColor="text1"/>
        </w:rPr>
        <w:t xml:space="preserve">The naming convention </w:t>
      </w:r>
      <w:r w:rsidR="00234960" w:rsidRPr="00234960">
        <w:rPr>
          <w:color w:val="000000" w:themeColor="text1"/>
        </w:rPr>
        <w:t>requires</w:t>
      </w:r>
      <w:r w:rsidR="00234960">
        <w:rPr>
          <w:color w:val="000000" w:themeColor="text1"/>
        </w:rPr>
        <w:t xml:space="preserve"> a CUID (fallback file name</w:t>
      </w:r>
      <w:r w:rsidR="00F909EB">
        <w:rPr>
          <w:color w:val="000000" w:themeColor="text1"/>
        </w:rPr>
        <w:t>;</w:t>
      </w:r>
      <w:r w:rsidR="00234960">
        <w:rPr>
          <w:color w:val="000000" w:themeColor="text1"/>
        </w:rPr>
        <w:t xml:space="preserve"> MUST) </w:t>
      </w:r>
      <w:r w:rsidR="00F909EB">
        <w:rPr>
          <w:color w:val="000000" w:themeColor="text1"/>
        </w:rPr>
        <w:t>while</w:t>
      </w:r>
      <w:r w:rsidR="00234960">
        <w:rPr>
          <w:color w:val="000000" w:themeColor="text1"/>
        </w:rPr>
        <w:t xml:space="preserve"> </w:t>
      </w:r>
      <w:r w:rsidR="00F909EB">
        <w:rPr>
          <w:color w:val="000000" w:themeColor="text1"/>
        </w:rPr>
        <w:t>a</w:t>
      </w:r>
      <w:r w:rsidR="00F909EB" w:rsidRPr="00F909EB">
        <w:rPr>
          <w:color w:val="000000" w:themeColor="text1"/>
        </w:rPr>
        <w:t>ll the information used for the name of an AKN4EU file MUST be part of the metadata of this file</w:t>
      </w:r>
      <w:r w:rsidR="00F909EB">
        <w:rPr>
          <w:color w:val="000000" w:themeColor="text1"/>
        </w:rPr>
        <w:t xml:space="preserve"> and </w:t>
      </w:r>
      <w:r w:rsidR="00F909EB" w:rsidRPr="00F909EB">
        <w:rPr>
          <w:color w:val="000000" w:themeColor="text1"/>
        </w:rPr>
        <w:t>the following information CAN be part of the filename</w:t>
      </w:r>
      <w:r w:rsidR="00F909EB">
        <w:rPr>
          <w:color w:val="000000" w:themeColor="text1"/>
        </w:rPr>
        <w:t xml:space="preserve">: </w:t>
      </w:r>
      <w:r w:rsidR="00F909EB" w:rsidRPr="00F909EB">
        <w:rPr>
          <w:color w:val="000000" w:themeColor="text1"/>
        </w:rPr>
        <w:t>drafting version of the document, with or without the drafting version of the</w:t>
      </w:r>
      <w:r w:rsidR="00F909EB">
        <w:rPr>
          <w:color w:val="000000" w:themeColor="text1"/>
        </w:rPr>
        <w:t xml:space="preserve"> </w:t>
      </w:r>
      <w:r w:rsidR="00F909EB" w:rsidRPr="00F909EB">
        <w:rPr>
          <w:color w:val="000000" w:themeColor="text1"/>
        </w:rPr>
        <w:t>component</w:t>
      </w:r>
      <w:r w:rsidR="00F909EB">
        <w:rPr>
          <w:color w:val="000000" w:themeColor="text1"/>
        </w:rPr>
        <w:t xml:space="preserve">, </w:t>
      </w:r>
      <w:r w:rsidR="00F909EB" w:rsidRPr="00F909EB">
        <w:rPr>
          <w:color w:val="000000" w:themeColor="text1"/>
        </w:rPr>
        <w:t>original language (lowercase ISO 639-1 2-letter code),</w:t>
      </w:r>
      <w:r w:rsidR="00F909EB">
        <w:rPr>
          <w:color w:val="000000" w:themeColor="text1"/>
        </w:rPr>
        <w:t xml:space="preserve"> </w:t>
      </w:r>
      <w:r w:rsidR="00F909EB" w:rsidRPr="00F909EB">
        <w:rPr>
          <w:color w:val="000000" w:themeColor="text1"/>
        </w:rPr>
        <w:t>the translation version</w:t>
      </w:r>
      <w:r w:rsidR="00F909EB">
        <w:rPr>
          <w:color w:val="000000" w:themeColor="text1"/>
        </w:rPr>
        <w:t xml:space="preserve">. This ensures that even a </w:t>
      </w:r>
      <w:r w:rsidR="00F909EB" w:rsidRPr="00F909EB">
        <w:rPr>
          <w:color w:val="000000" w:themeColor="text1"/>
        </w:rPr>
        <w:t>Proposal for a Regulation</w:t>
      </w:r>
      <w:r w:rsidR="00F909EB">
        <w:rPr>
          <w:color w:val="000000" w:themeColor="text1"/>
        </w:rPr>
        <w:t xml:space="preserve"> in an initial phase of drafting has at least a CUID as technical </w:t>
      </w:r>
      <w:r w:rsidR="00F909EB">
        <w:rPr>
          <w:color w:val="000000" w:themeColor="text1"/>
        </w:rPr>
        <w:lastRenderedPageBreak/>
        <w:t>identifier and when t</w:t>
      </w:r>
      <w:r w:rsidR="00F909EB" w:rsidRPr="00F909EB">
        <w:rPr>
          <w:color w:val="000000" w:themeColor="text1"/>
        </w:rPr>
        <w:t xml:space="preserve">he document is finalized </w:t>
      </w:r>
      <w:r w:rsidR="00F909EB">
        <w:rPr>
          <w:color w:val="000000" w:themeColor="text1"/>
        </w:rPr>
        <w:t>EU acts receive</w:t>
      </w:r>
      <w:r w:rsidR="00F909EB" w:rsidRPr="00F909EB">
        <w:rPr>
          <w:color w:val="000000" w:themeColor="text1"/>
        </w:rPr>
        <w:t xml:space="preserve"> a COM number (+ an official</w:t>
      </w:r>
      <w:r w:rsidR="00F909EB">
        <w:rPr>
          <w:color w:val="000000" w:themeColor="text1"/>
        </w:rPr>
        <w:t xml:space="preserve"> </w:t>
      </w:r>
      <w:r w:rsidR="00F909EB" w:rsidRPr="00F909EB">
        <w:rPr>
          <w:color w:val="000000" w:themeColor="text1"/>
        </w:rPr>
        <w:t>version</w:t>
      </w:r>
      <w:r w:rsidR="00F909EB">
        <w:rPr>
          <w:color w:val="000000" w:themeColor="text1"/>
        </w:rPr>
        <w:t xml:space="preserve">) </w:t>
      </w:r>
      <w:r w:rsidR="00F909EB" w:rsidRPr="00F909EB">
        <w:rPr>
          <w:color w:val="000000" w:themeColor="text1"/>
        </w:rPr>
        <w:t>in place of CUID and draft</w:t>
      </w:r>
      <w:r w:rsidR="00F909EB">
        <w:rPr>
          <w:color w:val="000000" w:themeColor="text1"/>
        </w:rPr>
        <w:t xml:space="preserve"> </w:t>
      </w:r>
      <w:r w:rsidR="00F909EB" w:rsidRPr="00F909EB">
        <w:rPr>
          <w:color w:val="000000" w:themeColor="text1"/>
        </w:rPr>
        <w:t>version.</w:t>
      </w:r>
      <w:r w:rsidR="00F909EB">
        <w:rPr>
          <w:color w:val="000000" w:themeColor="text1"/>
        </w:rPr>
        <w:t xml:space="preserve"> </w:t>
      </w:r>
    </w:p>
    <w:p w14:paraId="08C90D38" w14:textId="529056DF" w:rsidR="00F909EB" w:rsidRDefault="00F909EB" w:rsidP="00F909EB">
      <w:pPr>
        <w:rPr>
          <w:color w:val="000000" w:themeColor="text1"/>
        </w:rPr>
      </w:pPr>
      <w:r w:rsidRPr="00F909EB">
        <w:rPr>
          <w:color w:val="000000" w:themeColor="text1"/>
          <w:highlight w:val="yellow"/>
        </w:rPr>
        <w:t>The Swiss equivalent to the AKN4EU</w:t>
      </w:r>
      <w:r w:rsidRPr="00F909EB">
        <w:rPr>
          <w:color w:val="000000" w:themeColor="text1"/>
          <w:highlight w:val="yellow"/>
        </w:rPr>
        <w:t xml:space="preserve"> of the file naming convention should conform to thiese guidelines.</w:t>
      </w:r>
    </w:p>
    <w:p w14:paraId="6703D0E0" w14:textId="77777777" w:rsidR="00F909EB" w:rsidRPr="00F909EB" w:rsidRDefault="00F909EB" w:rsidP="00F909EB">
      <w:pPr>
        <w:rPr>
          <w:color w:val="EE0000"/>
        </w:rPr>
      </w:pPr>
      <w:r w:rsidRPr="00F909EB">
        <w:rPr>
          <w:color w:val="EE0000"/>
        </w:rPr>
        <w:t>PART 1 - 2</w:t>
      </w:r>
      <w:r w:rsidRPr="00F909EB">
        <w:rPr>
          <w:b/>
          <w:bCs/>
          <w:color w:val="EE0000"/>
        </w:rPr>
        <w:t xml:space="preserve"> </w:t>
      </w:r>
      <w:r w:rsidRPr="00F909EB">
        <w:rPr>
          <w:color w:val="EE0000"/>
        </w:rPr>
        <w:t>The AKN4EU file: the mark-up for &lt;body&gt; and &lt;mainBody&gt;</w:t>
      </w:r>
    </w:p>
    <w:p w14:paraId="45DA4B2E" w14:textId="1D125465" w:rsidR="00F909EB" w:rsidRDefault="00F909EB" w:rsidP="00F909EB">
      <w:pPr>
        <w:rPr>
          <w:color w:val="EE0000"/>
        </w:rPr>
      </w:pPr>
      <w:r w:rsidRPr="00F909EB">
        <w:rPr>
          <w:color w:val="EE0000"/>
        </w:rPr>
        <w:t>2.1</w:t>
      </w:r>
      <w:r w:rsidRPr="00F909EB">
        <w:rPr>
          <w:b/>
          <w:bCs/>
          <w:color w:val="EE0000"/>
        </w:rPr>
        <w:t xml:space="preserve"> </w:t>
      </w:r>
      <w:r w:rsidRPr="00F909EB">
        <w:rPr>
          <w:color w:val="EE0000"/>
        </w:rPr>
        <w:t>Introduction: the Akoma Ntoso families of elements for the</w:t>
      </w:r>
      <w:r w:rsidRPr="00F909EB">
        <w:rPr>
          <w:color w:val="EE0000"/>
        </w:rPr>
        <w:t xml:space="preserve"> </w:t>
      </w:r>
      <w:r w:rsidRPr="00F909EB">
        <w:rPr>
          <w:color w:val="EE0000"/>
        </w:rPr>
        <w:t>&lt;body&gt;/&lt;mainBody&gt;</w:t>
      </w:r>
    </w:p>
    <w:p w14:paraId="692A19EE" w14:textId="633C65A1" w:rsidR="00F909EB" w:rsidRDefault="00F909EB" w:rsidP="00F909EB">
      <w:pPr>
        <w:rPr>
          <w:color w:val="EE0000"/>
        </w:rPr>
      </w:pPr>
      <w:r w:rsidRPr="00F909EB">
        <w:rPr>
          <w:color w:val="EE0000"/>
        </w:rPr>
        <w:t>2.2</w:t>
      </w:r>
      <w:r w:rsidRPr="00F909EB">
        <w:rPr>
          <w:b/>
          <w:bCs/>
          <w:color w:val="EE0000"/>
        </w:rPr>
        <w:t xml:space="preserve"> </w:t>
      </w:r>
      <w:r w:rsidRPr="00F909EB">
        <w:rPr>
          <w:color w:val="EE0000"/>
        </w:rPr>
        <w:t>The AKN4EU principles</w:t>
      </w:r>
    </w:p>
    <w:p w14:paraId="5D0BC3CD" w14:textId="7F5AB664" w:rsidR="004E13E3" w:rsidRPr="00F909EB" w:rsidRDefault="004E13E3" w:rsidP="00F909EB">
      <w:pPr>
        <w:rPr>
          <w:color w:val="EE0000"/>
        </w:rPr>
      </w:pPr>
      <w:r>
        <w:rPr>
          <w:color w:val="EE0000"/>
        </w:rPr>
        <w:t xml:space="preserve">2.3 </w:t>
      </w:r>
      <w:r w:rsidRPr="004E13E3">
        <w:rPr>
          <w:color w:val="EE0000"/>
        </w:rPr>
        <w:t>The AKN4EU content model</w:t>
      </w:r>
    </w:p>
    <w:p w14:paraId="38482414" w14:textId="77777777" w:rsidR="00F80786" w:rsidRDefault="004E13E3" w:rsidP="00F909EB">
      <w:pPr>
        <w:rPr>
          <w:color w:val="000000" w:themeColor="text1"/>
        </w:rPr>
      </w:pPr>
      <w:r w:rsidRPr="004E13E3">
        <w:rPr>
          <w:color w:val="000000" w:themeColor="text1"/>
        </w:rPr>
        <w:t xml:space="preserve">There are 3 levels of elements: </w:t>
      </w:r>
    </w:p>
    <w:p w14:paraId="5FDBD5DA" w14:textId="77777777" w:rsidR="00A80DE4" w:rsidRDefault="004E13E3" w:rsidP="00A80DE4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F80786">
        <w:rPr>
          <w:b/>
          <w:bCs/>
          <w:color w:val="000000" w:themeColor="text1"/>
        </w:rPr>
        <w:t>high level structures</w:t>
      </w:r>
      <w:r w:rsidR="00F80786">
        <w:rPr>
          <w:color w:val="000000" w:themeColor="text1"/>
        </w:rPr>
        <w:t xml:space="preserve">: </w:t>
      </w:r>
      <w:r w:rsidRPr="00F80786">
        <w:rPr>
          <w:color w:val="000000" w:themeColor="text1"/>
        </w:rPr>
        <w:t xml:space="preserve">either </w:t>
      </w:r>
      <w:r w:rsidRPr="00A80DE4">
        <w:rPr>
          <w:i/>
          <w:iCs/>
          <w:color w:val="000000" w:themeColor="text1"/>
        </w:rPr>
        <w:t>named</w:t>
      </w:r>
      <w:r w:rsidRPr="00F80786">
        <w:rPr>
          <w:color w:val="000000" w:themeColor="text1"/>
        </w:rPr>
        <w:t xml:space="preserve"> </w:t>
      </w:r>
      <w:r w:rsidR="00F80786" w:rsidRPr="00F80786">
        <w:rPr>
          <w:color w:val="000000" w:themeColor="text1"/>
        </w:rPr>
        <w:t>&lt;part&gt;</w:t>
      </w:r>
      <w:r w:rsidR="00F80786">
        <w:rPr>
          <w:color w:val="000000" w:themeColor="text1"/>
        </w:rPr>
        <w:t xml:space="preserve">, </w:t>
      </w:r>
      <w:r w:rsidR="00F80786" w:rsidRPr="00F80786">
        <w:rPr>
          <w:color w:val="000000" w:themeColor="text1"/>
        </w:rPr>
        <w:t>&lt;title&gt;</w:t>
      </w:r>
      <w:r w:rsidR="00F80786" w:rsidRPr="00F80786">
        <w:rPr>
          <w:color w:val="000000" w:themeColor="text1"/>
        </w:rPr>
        <w:t>,</w:t>
      </w:r>
      <w:r w:rsidR="00F80786" w:rsidRPr="00F80786">
        <w:rPr>
          <w:color w:val="000000" w:themeColor="text1"/>
        </w:rPr>
        <w:t xml:space="preserve"> &lt;chapter&gt;</w:t>
      </w:r>
      <w:r w:rsidR="00F80786" w:rsidRPr="00F80786">
        <w:rPr>
          <w:color w:val="000000" w:themeColor="text1"/>
        </w:rPr>
        <w:t>,</w:t>
      </w:r>
      <w:r w:rsidR="00F80786" w:rsidRPr="00F80786">
        <w:rPr>
          <w:color w:val="000000" w:themeColor="text1"/>
        </w:rPr>
        <w:t xml:space="preserve"> </w:t>
      </w:r>
      <w:r w:rsidR="00F80786">
        <w:rPr>
          <w:color w:val="000000" w:themeColor="text1"/>
        </w:rPr>
        <w:t xml:space="preserve">or </w:t>
      </w:r>
      <w:r w:rsidR="00F80786" w:rsidRPr="00F80786">
        <w:rPr>
          <w:color w:val="000000" w:themeColor="text1"/>
        </w:rPr>
        <w:t>&lt;section&gt;</w:t>
      </w:r>
      <w:r w:rsidR="00A80DE4">
        <w:rPr>
          <w:rStyle w:val="FootnoteReference"/>
          <w:color w:val="000000" w:themeColor="text1"/>
        </w:rPr>
        <w:footnoteReference w:id="7"/>
      </w:r>
      <w:r w:rsidR="00F80786" w:rsidRPr="00F80786">
        <w:rPr>
          <w:color w:val="000000" w:themeColor="text1"/>
        </w:rPr>
        <w:t xml:space="preserve"> </w:t>
      </w:r>
      <w:r w:rsidR="00A80DE4">
        <w:rPr>
          <w:color w:val="000000" w:themeColor="text1"/>
        </w:rPr>
        <w:t>(</w:t>
      </w:r>
      <w:r w:rsidR="00F80786" w:rsidRPr="00F80786">
        <w:rPr>
          <w:color w:val="000000" w:themeColor="text1"/>
        </w:rPr>
        <w:t>incl. hierarchical representation &lt;num&gt;</w:t>
      </w:r>
      <w:r w:rsidR="00F80786">
        <w:rPr>
          <w:color w:val="000000" w:themeColor="text1"/>
        </w:rPr>
        <w:t xml:space="preserve"> and</w:t>
      </w:r>
      <w:r w:rsidR="00A80DE4">
        <w:rPr>
          <w:color w:val="000000" w:themeColor="text1"/>
        </w:rPr>
        <w:t xml:space="preserve"> optional</w:t>
      </w:r>
      <w:r w:rsidR="00F80786">
        <w:rPr>
          <w:color w:val="000000" w:themeColor="text1"/>
        </w:rPr>
        <w:t xml:space="preserve"> </w:t>
      </w:r>
      <w:r w:rsidR="00F80786" w:rsidRPr="00F80786">
        <w:rPr>
          <w:color w:val="000000" w:themeColor="text1"/>
        </w:rPr>
        <w:t xml:space="preserve"> &lt;heading&gt;</w:t>
      </w:r>
      <w:r w:rsidR="00A80DE4">
        <w:rPr>
          <w:color w:val="000000" w:themeColor="text1"/>
        </w:rPr>
        <w:t xml:space="preserve">) </w:t>
      </w:r>
      <w:r w:rsidRPr="00F80786">
        <w:rPr>
          <w:color w:val="000000" w:themeColor="text1"/>
        </w:rPr>
        <w:t xml:space="preserve">or unnamed </w:t>
      </w:r>
      <w:r w:rsidR="00F80786" w:rsidRPr="00F80786">
        <w:rPr>
          <w:color w:val="000000" w:themeColor="text1"/>
        </w:rPr>
        <w:t>&lt;</w:t>
      </w:r>
      <w:r w:rsidRPr="00F80786">
        <w:rPr>
          <w:color w:val="000000" w:themeColor="text1"/>
        </w:rPr>
        <w:t>subdivision</w:t>
      </w:r>
      <w:r w:rsidR="00F80786" w:rsidRPr="00F80786">
        <w:rPr>
          <w:color w:val="000000" w:themeColor="text1"/>
        </w:rPr>
        <w:t>&gt;</w:t>
      </w:r>
      <w:r w:rsidR="00A80DE4">
        <w:rPr>
          <w:color w:val="000000" w:themeColor="text1"/>
        </w:rPr>
        <w:t xml:space="preserve"> (hierarchcal model) or &lt;division&gt; (flat model)</w:t>
      </w:r>
      <w:r w:rsidR="00F80786" w:rsidRPr="00F80786">
        <w:rPr>
          <w:color w:val="000000" w:themeColor="text1"/>
        </w:rPr>
        <w:t xml:space="preserve">. </w:t>
      </w:r>
    </w:p>
    <w:p w14:paraId="3BF7C741" w14:textId="77777777" w:rsidR="00A80DE4" w:rsidRDefault="00F80786" w:rsidP="00A80DE4">
      <w:pPr>
        <w:pStyle w:val="ListParagraph"/>
        <w:numPr>
          <w:ilvl w:val="1"/>
          <w:numId w:val="3"/>
        </w:numPr>
        <w:rPr>
          <w:color w:val="000000" w:themeColor="text1"/>
        </w:rPr>
      </w:pPr>
      <w:r w:rsidRPr="00F80786">
        <w:rPr>
          <w:color w:val="000000" w:themeColor="text1"/>
        </w:rPr>
        <w:t>I</w:t>
      </w:r>
      <w:r w:rsidRPr="00F80786">
        <w:rPr>
          <w:color w:val="000000" w:themeColor="text1"/>
        </w:rPr>
        <w:t>n named structures, each name of the</w:t>
      </w:r>
      <w:r w:rsidRPr="00F80786">
        <w:rPr>
          <w:color w:val="000000" w:themeColor="text1"/>
        </w:rPr>
        <w:t xml:space="preserve"> </w:t>
      </w:r>
      <w:r w:rsidRPr="00F80786">
        <w:rPr>
          <w:color w:val="000000" w:themeColor="text1"/>
        </w:rPr>
        <w:t>structure corresponds to a level of hierarch</w:t>
      </w:r>
      <w:r w:rsidRPr="00F80786">
        <w:rPr>
          <w:color w:val="000000" w:themeColor="text1"/>
        </w:rPr>
        <w:t>y</w:t>
      </w:r>
      <w:r>
        <w:rPr>
          <w:color w:val="000000" w:themeColor="text1"/>
        </w:rPr>
        <w:t xml:space="preserve"> and includes one or more core structure(s) or high level structure</w:t>
      </w:r>
      <w:r w:rsidR="00FE3D60">
        <w:rPr>
          <w:color w:val="000000" w:themeColor="text1"/>
        </w:rPr>
        <w:t>(s)</w:t>
      </w:r>
      <w:r>
        <w:rPr>
          <w:color w:val="000000" w:themeColor="text1"/>
        </w:rPr>
        <w:t>.</w:t>
      </w:r>
      <w:r w:rsidR="00A80DE4">
        <w:rPr>
          <w:color w:val="000000" w:themeColor="text1"/>
        </w:rPr>
        <w:t xml:space="preserve"> </w:t>
      </w:r>
    </w:p>
    <w:p w14:paraId="3CBBA0E3" w14:textId="649B0001" w:rsidR="00A80DE4" w:rsidRPr="00601A8A" w:rsidRDefault="00A80DE4" w:rsidP="00601A8A">
      <w:pPr>
        <w:pStyle w:val="ListParagraph"/>
        <w:numPr>
          <w:ilvl w:val="1"/>
          <w:numId w:val="3"/>
        </w:numPr>
        <w:rPr>
          <w:color w:val="000000" w:themeColor="text1"/>
        </w:rPr>
      </w:pPr>
      <w:bookmarkStart w:id="10" w:name="OLE_LINK14"/>
      <w:r>
        <w:rPr>
          <w:color w:val="000000" w:themeColor="text1"/>
        </w:rPr>
        <w:t xml:space="preserve">Unnamed structures </w:t>
      </w:r>
      <w:r w:rsidR="00601A8A">
        <w:rPr>
          <w:color w:val="000000" w:themeColor="text1"/>
        </w:rPr>
        <w:t xml:space="preserve">are </w:t>
      </w:r>
      <w:r>
        <w:rPr>
          <w:color w:val="000000" w:themeColor="text1"/>
        </w:rPr>
        <w:t xml:space="preserve">represented as &lt;subdivision&gt; </w:t>
      </w:r>
      <w:bookmarkEnd w:id="10"/>
      <w:r>
        <w:rPr>
          <w:color w:val="000000" w:themeColor="text1"/>
        </w:rPr>
        <w:t>(hierarchical model) contain &lt;num&gt; and &lt;heading&gt; along with o</w:t>
      </w:r>
      <w:r w:rsidRPr="00A80DE4">
        <w:rPr>
          <w:color w:val="000000" w:themeColor="text1"/>
        </w:rPr>
        <w:t>ne or more core structure</w:t>
      </w:r>
      <w:r>
        <w:rPr>
          <w:color w:val="000000" w:themeColor="text1"/>
        </w:rPr>
        <w:t xml:space="preserve">(s) or </w:t>
      </w:r>
      <w:r w:rsidRPr="00A80DE4">
        <w:rPr>
          <w:color w:val="000000" w:themeColor="text1"/>
        </w:rPr>
        <w:t>a sequence of unnamed structures (&lt;subdivision&gt;)</w:t>
      </w:r>
      <w:r>
        <w:rPr>
          <w:color w:val="000000" w:themeColor="text1"/>
        </w:rPr>
        <w:t>.</w:t>
      </w:r>
      <w:r>
        <w:rPr>
          <w:rStyle w:val="FootnoteReference"/>
          <w:color w:val="000000" w:themeColor="text1"/>
        </w:rPr>
        <w:footnoteReference w:id="8"/>
      </w:r>
      <w:r w:rsidR="00601A8A">
        <w:rPr>
          <w:color w:val="000000" w:themeColor="text1"/>
        </w:rPr>
        <w:t xml:space="preserve"> </w:t>
      </w:r>
      <w:r w:rsidR="00601A8A" w:rsidRPr="00601A8A">
        <w:rPr>
          <w:color w:val="000000" w:themeColor="text1"/>
        </w:rPr>
        <w:t>Alternatively, u</w:t>
      </w:r>
      <w:r w:rsidRPr="00601A8A">
        <w:rPr>
          <w:color w:val="000000" w:themeColor="text1"/>
        </w:rPr>
        <w:t xml:space="preserve">nnamed structures </w:t>
      </w:r>
      <w:r w:rsidR="00601A8A">
        <w:rPr>
          <w:color w:val="000000" w:themeColor="text1"/>
        </w:rPr>
        <w:t>can be</w:t>
      </w:r>
      <w:r w:rsidR="00601A8A" w:rsidRPr="00601A8A">
        <w:rPr>
          <w:color w:val="000000" w:themeColor="text1"/>
        </w:rPr>
        <w:t xml:space="preserve"> </w:t>
      </w:r>
      <w:r w:rsidRPr="00601A8A">
        <w:rPr>
          <w:color w:val="000000" w:themeColor="text1"/>
        </w:rPr>
        <w:t>represented as &lt;</w:t>
      </w:r>
      <w:r w:rsidR="00601A8A" w:rsidRPr="00601A8A">
        <w:rPr>
          <w:color w:val="000000" w:themeColor="text1"/>
        </w:rPr>
        <w:t>division</w:t>
      </w:r>
      <w:r w:rsidRPr="00601A8A">
        <w:rPr>
          <w:color w:val="000000" w:themeColor="text1"/>
        </w:rPr>
        <w:t>&gt;</w:t>
      </w:r>
      <w:r w:rsidR="00601A8A" w:rsidRPr="00601A8A">
        <w:rPr>
          <w:color w:val="000000" w:themeColor="text1"/>
        </w:rPr>
        <w:t xml:space="preserve"> (flat model) </w:t>
      </w:r>
      <w:r w:rsidR="00601A8A">
        <w:rPr>
          <w:color w:val="000000" w:themeColor="text1"/>
        </w:rPr>
        <w:t xml:space="preserve">with a mandatory &lt;num&gt; and &lt;heading&gt; element as well as </w:t>
      </w:r>
      <w:bookmarkStart w:id="12" w:name="OLE_LINK15"/>
      <w:r w:rsidR="00601A8A" w:rsidRPr="00601A8A">
        <w:rPr>
          <w:color w:val="000000" w:themeColor="text1"/>
        </w:rPr>
        <w:t>@class</w:t>
      </w:r>
      <w:r w:rsidR="00601A8A">
        <w:rPr>
          <w:color w:val="000000" w:themeColor="text1"/>
        </w:rPr>
        <w:t xml:space="preserve"> </w:t>
      </w:r>
      <w:r w:rsidR="00601A8A" w:rsidRPr="00601A8A">
        <w:rPr>
          <w:color w:val="000000" w:themeColor="text1"/>
        </w:rPr>
        <w:t>attribute</w:t>
      </w:r>
      <w:r w:rsidR="00601A8A">
        <w:rPr>
          <w:rStyle w:val="FootnoteReference"/>
          <w:color w:val="000000" w:themeColor="text1"/>
        </w:rPr>
        <w:footnoteReference w:id="9"/>
      </w:r>
      <w:r w:rsidR="00601A8A">
        <w:rPr>
          <w:color w:val="000000" w:themeColor="text1"/>
        </w:rPr>
        <w:t xml:space="preserve"> </w:t>
      </w:r>
      <w:bookmarkEnd w:id="12"/>
      <w:r w:rsidR="00601A8A">
        <w:rPr>
          <w:color w:val="000000" w:themeColor="text1"/>
        </w:rPr>
        <w:t xml:space="preserve">containing </w:t>
      </w:r>
      <w:r w:rsidR="00601A8A" w:rsidRPr="00601A8A">
        <w:rPr>
          <w:color w:val="000000" w:themeColor="text1"/>
        </w:rPr>
        <w:t>"type_"{number</w:t>
      </w:r>
      <w:r w:rsidR="00601A8A">
        <w:rPr>
          <w:color w:val="000000" w:themeColor="text1"/>
        </w:rPr>
        <w:t xml:space="preserve">}, </w:t>
      </w:r>
      <w:bookmarkStart w:id="13" w:name="OLE_LINK16"/>
      <w:r w:rsidR="00601A8A" w:rsidRPr="00601A8A">
        <w:rPr>
          <w:color w:val="000000" w:themeColor="text1"/>
        </w:rPr>
        <w:t>where {number} is indicating the level in the hierarchy ("1" = first level, "2" =</w:t>
      </w:r>
      <w:r w:rsidR="00601A8A">
        <w:rPr>
          <w:color w:val="000000" w:themeColor="text1"/>
        </w:rPr>
        <w:t xml:space="preserve"> </w:t>
      </w:r>
      <w:r w:rsidR="00601A8A" w:rsidRPr="00601A8A">
        <w:rPr>
          <w:color w:val="000000" w:themeColor="text1"/>
        </w:rPr>
        <w:t xml:space="preserve">second level, </w:t>
      </w:r>
      <w:r w:rsidR="00601A8A" w:rsidRPr="00601A8A">
        <w:rPr>
          <w:color w:val="000000" w:themeColor="text1"/>
        </w:rPr>
        <w:lastRenderedPageBreak/>
        <w:t>…)</w:t>
      </w:r>
      <w:bookmarkEnd w:id="13"/>
      <w:r w:rsidR="00601A8A">
        <w:rPr>
          <w:color w:val="000000" w:themeColor="text1"/>
        </w:rPr>
        <w:t>.</w:t>
      </w:r>
      <w:r w:rsidR="00601A8A">
        <w:rPr>
          <w:rStyle w:val="FootnoteReference"/>
          <w:color w:val="000000" w:themeColor="text1"/>
        </w:rPr>
        <w:footnoteReference w:id="10"/>
      </w:r>
      <w:r w:rsidR="00601A8A">
        <w:rPr>
          <w:color w:val="000000" w:themeColor="text1"/>
        </w:rPr>
        <w:t xml:space="preserve"> </w:t>
      </w:r>
      <w:r w:rsidR="00601A8A" w:rsidRPr="00601A8A">
        <w:rPr>
          <w:color w:val="000000" w:themeColor="text1"/>
        </w:rPr>
        <w:t>The value of the @class attribute must be coherent with this underlying hierarchy of &lt;division&gt;.</w:t>
      </w:r>
      <w:r w:rsidR="00601A8A">
        <w:rPr>
          <w:rStyle w:val="FootnoteReference"/>
          <w:color w:val="000000" w:themeColor="text1"/>
        </w:rPr>
        <w:footnoteReference w:id="11"/>
      </w:r>
    </w:p>
    <w:p w14:paraId="2657F4A4" w14:textId="77777777" w:rsidR="004B3FBD" w:rsidRDefault="004E13E3" w:rsidP="00BD51B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F80786">
        <w:rPr>
          <w:b/>
          <w:bCs/>
          <w:color w:val="000000" w:themeColor="text1"/>
        </w:rPr>
        <w:t>core structures</w:t>
      </w:r>
      <w:r w:rsidR="00F80786">
        <w:rPr>
          <w:color w:val="000000" w:themeColor="text1"/>
        </w:rPr>
        <w:t>:</w:t>
      </w:r>
      <w:r w:rsidRPr="00F80786">
        <w:rPr>
          <w:color w:val="000000" w:themeColor="text1"/>
        </w:rPr>
        <w:t xml:space="preserve">&lt;article&gt;, numbered </w:t>
      </w:r>
      <w:r w:rsidR="00F80786">
        <w:rPr>
          <w:color w:val="000000" w:themeColor="text1"/>
        </w:rPr>
        <w:t>(</w:t>
      </w:r>
      <w:r w:rsidRPr="00F80786">
        <w:rPr>
          <w:color w:val="000000" w:themeColor="text1"/>
        </w:rPr>
        <w:t>&lt;num&gt;</w:t>
      </w:r>
      <w:r w:rsidR="00F80786">
        <w:rPr>
          <w:color w:val="000000" w:themeColor="text1"/>
        </w:rPr>
        <w:t>)</w:t>
      </w:r>
      <w:r w:rsidRPr="00F80786">
        <w:rPr>
          <w:color w:val="000000" w:themeColor="text1"/>
        </w:rPr>
        <w:t xml:space="preserve"> or unnumbered &lt;paragraph&gt;, or independent &lt;level&gt;</w:t>
      </w:r>
      <w:r w:rsidR="00BD51B0">
        <w:rPr>
          <w:color w:val="000000" w:themeColor="text1"/>
        </w:rPr>
        <w:t xml:space="preserve">. </w:t>
      </w:r>
      <w:r w:rsidR="00BD51B0" w:rsidRPr="00BD51B0">
        <w:rPr>
          <w:color w:val="000000" w:themeColor="text1"/>
        </w:rPr>
        <w:t>The core structure groups the basic elements available</w:t>
      </w:r>
      <w:r w:rsidR="00BD51B0">
        <w:rPr>
          <w:color w:val="000000" w:themeColor="text1"/>
        </w:rPr>
        <w:t xml:space="preserve">; </w:t>
      </w:r>
      <w:r w:rsidR="00BD51B0" w:rsidRPr="00BD51B0">
        <w:rPr>
          <w:color w:val="000000" w:themeColor="text1"/>
        </w:rPr>
        <w:t>The simplest document must have at least one of these structures. Which structure is available for adocument is defined at the level of the AKN4EU file and its type</w:t>
      </w:r>
      <w:r w:rsidR="004B3FBD">
        <w:rPr>
          <w:color w:val="000000" w:themeColor="text1"/>
        </w:rPr>
        <w:t>.</w:t>
      </w:r>
    </w:p>
    <w:p w14:paraId="60354AD8" w14:textId="5574ECDD" w:rsidR="00F80786" w:rsidRPr="00C7569F" w:rsidRDefault="004B3FBD" w:rsidP="00C7569F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An &lt;article&gt; is the basis structure of EU acts and must contain </w:t>
      </w:r>
      <w:r w:rsidR="00205F50">
        <w:rPr>
          <w:color w:val="000000" w:themeColor="text1"/>
        </w:rPr>
        <w:t xml:space="preserve">a &lt;num&gt; </w:t>
      </w:r>
      <w:r w:rsidR="00205F50">
        <w:rPr>
          <w:color w:val="000000" w:themeColor="text1"/>
        </w:rPr>
        <w:t xml:space="preserve">(&lt;heading&gt; is optional) </w:t>
      </w:r>
      <w:r w:rsidR="00205F50">
        <w:rPr>
          <w:color w:val="000000" w:themeColor="text1"/>
        </w:rPr>
        <w:t>and at least one numbered (or unnumbered) &lt;paragraph&gt;</w:t>
      </w:r>
      <w:r w:rsidR="00205F50">
        <w:rPr>
          <w:rStyle w:val="FootnoteReference"/>
          <w:color w:val="000000" w:themeColor="text1"/>
        </w:rPr>
        <w:footnoteReference w:id="12"/>
      </w:r>
      <w:r w:rsidR="00205F50">
        <w:rPr>
          <w:color w:val="000000" w:themeColor="text1"/>
        </w:rPr>
        <w:t xml:space="preserve"> with </w:t>
      </w:r>
      <w:r w:rsidR="00C7569F">
        <w:rPr>
          <w:color w:val="000000" w:themeColor="text1"/>
        </w:rPr>
        <w:t xml:space="preserve">at least a </w:t>
      </w:r>
      <w:r w:rsidR="00C7569F" w:rsidRPr="00C7569F">
        <w:rPr>
          <w:b/>
          <w:bCs/>
          <w:color w:val="000000" w:themeColor="text1"/>
        </w:rPr>
        <w:t xml:space="preserve">simple block of </w:t>
      </w:r>
      <w:r w:rsidR="00205F50" w:rsidRPr="00C7569F">
        <w:rPr>
          <w:b/>
          <w:bCs/>
          <w:color w:val="000000" w:themeColor="text1"/>
        </w:rPr>
        <w:t>text</w:t>
      </w:r>
      <w:r w:rsidR="00C7569F">
        <w:rPr>
          <w:rStyle w:val="FootnoteReference"/>
          <w:color w:val="000000" w:themeColor="text1"/>
        </w:rPr>
        <w:footnoteReference w:id="13"/>
      </w:r>
      <w:r w:rsidR="00205F50">
        <w:rPr>
          <w:color w:val="000000" w:themeColor="text1"/>
        </w:rPr>
        <w:t xml:space="preserve"> inside a </w:t>
      </w:r>
      <w:r w:rsidR="00205F50" w:rsidRPr="00205F50">
        <w:rPr>
          <w:color w:val="000000" w:themeColor="text1"/>
        </w:rPr>
        <w:lastRenderedPageBreak/>
        <w:t>&lt;content&gt;/&lt;p&gt;</w:t>
      </w:r>
      <w:r w:rsidR="00C7569F">
        <w:rPr>
          <w:color w:val="000000" w:themeColor="text1"/>
        </w:rPr>
        <w:t xml:space="preserve"> element</w:t>
      </w:r>
      <w:r w:rsidR="00EE6B4B">
        <w:rPr>
          <w:color w:val="000000" w:themeColor="text1"/>
        </w:rPr>
        <w:t>. The “numbered paragraph”</w:t>
      </w:r>
      <w:r w:rsidR="00EE6B4B">
        <w:rPr>
          <w:rStyle w:val="FootnoteReference"/>
          <w:color w:val="000000" w:themeColor="text1"/>
        </w:rPr>
        <w:footnoteReference w:id="14"/>
      </w:r>
      <w:r w:rsidR="00EE6B4B">
        <w:rPr>
          <w:color w:val="000000" w:themeColor="text1"/>
        </w:rPr>
        <w:t xml:space="preserve"> can be a </w:t>
      </w:r>
      <w:r w:rsidR="00C7569F">
        <w:rPr>
          <w:color w:val="000000" w:themeColor="text1"/>
        </w:rPr>
        <w:t xml:space="preserve">table inside  a </w:t>
      </w:r>
      <w:r w:rsidR="00205F50" w:rsidRPr="00205F50">
        <w:rPr>
          <w:color w:val="000000" w:themeColor="text1"/>
        </w:rPr>
        <w:t>&lt;content&gt;/&lt;</w:t>
      </w:r>
      <w:r w:rsidR="00205F50">
        <w:rPr>
          <w:color w:val="000000" w:themeColor="text1"/>
        </w:rPr>
        <w:t>table</w:t>
      </w:r>
      <w:r w:rsidR="00205F50" w:rsidRPr="00205F50">
        <w:rPr>
          <w:color w:val="000000" w:themeColor="text1"/>
        </w:rPr>
        <w:t>&gt; element</w:t>
      </w:r>
      <w:r w:rsidR="00C7569F">
        <w:rPr>
          <w:color w:val="000000" w:themeColor="text1"/>
        </w:rPr>
        <w:t xml:space="preserve">, one or more &lt;list&gt; or  &lt;hcontainer&gt; elements or a sequence of at </w:t>
      </w:r>
      <w:r w:rsidR="00C7569F" w:rsidRPr="00C7569F">
        <w:rPr>
          <w:color w:val="000000" w:themeColor="text1"/>
        </w:rPr>
        <w:t xml:space="preserve">least two </w:t>
      </w:r>
      <w:bookmarkStart w:id="15" w:name="OLE_LINK17"/>
      <w:r w:rsidR="00C7569F" w:rsidRPr="00C7569F">
        <w:rPr>
          <w:color w:val="000000" w:themeColor="text1"/>
        </w:rPr>
        <w:t>&lt;subparagraph&gt;</w:t>
      </w:r>
      <w:r w:rsidR="00C7569F">
        <w:rPr>
          <w:color w:val="000000" w:themeColor="text1"/>
        </w:rPr>
        <w:t xml:space="preserve"> </w:t>
      </w:r>
      <w:bookmarkEnd w:id="15"/>
      <w:r w:rsidR="00C7569F">
        <w:rPr>
          <w:color w:val="000000" w:themeColor="text1"/>
        </w:rPr>
        <w:t>elements</w:t>
      </w:r>
      <w:r w:rsidR="00205F50">
        <w:rPr>
          <w:color w:val="000000" w:themeColor="text1"/>
        </w:rPr>
        <w:t>.</w:t>
      </w:r>
      <w:r w:rsidR="00C7569F">
        <w:rPr>
          <w:color w:val="000000" w:themeColor="text1"/>
        </w:rPr>
        <w:t xml:space="preserve"> T</w:t>
      </w:r>
      <w:r w:rsidR="00C7569F" w:rsidRPr="00C7569F">
        <w:rPr>
          <w:color w:val="000000" w:themeColor="text1"/>
        </w:rPr>
        <w:t xml:space="preserve">he </w:t>
      </w:r>
      <w:r w:rsidR="00C7569F" w:rsidRPr="00C7569F">
        <w:rPr>
          <w:color w:val="000000" w:themeColor="text1"/>
        </w:rPr>
        <w:lastRenderedPageBreak/>
        <w:t>"unnumbered paragraph"</w:t>
      </w:r>
      <w:r w:rsidR="00C7569F">
        <w:rPr>
          <w:rStyle w:val="FootnoteReference"/>
          <w:color w:val="000000" w:themeColor="text1"/>
        </w:rPr>
        <w:footnoteReference w:id="15"/>
      </w:r>
      <w:r w:rsidR="00C7569F" w:rsidRPr="00C7569F">
        <w:rPr>
          <w:color w:val="000000" w:themeColor="text1"/>
        </w:rPr>
        <w:t xml:space="preserve"> </w:t>
      </w:r>
      <w:r w:rsidR="00C7569F">
        <w:rPr>
          <w:color w:val="000000" w:themeColor="text1"/>
        </w:rPr>
        <w:t xml:space="preserve">differs in that it </w:t>
      </w:r>
      <w:r w:rsidR="00C7569F" w:rsidRPr="00C7569F">
        <w:rPr>
          <w:color w:val="000000" w:themeColor="text1"/>
        </w:rPr>
        <w:t>can only have one &lt;subparagraph&gt;</w:t>
      </w:r>
      <w:r w:rsidR="00C7569F">
        <w:rPr>
          <w:color w:val="000000" w:themeColor="text1"/>
        </w:rPr>
        <w:t xml:space="preserve"> </w:t>
      </w:r>
      <w:r w:rsidR="00C7569F" w:rsidRPr="00C7569F">
        <w:rPr>
          <w:color w:val="000000" w:themeColor="text1"/>
        </w:rPr>
        <w:t>inside</w:t>
      </w:r>
      <w:r w:rsidR="00C7569F">
        <w:rPr>
          <w:color w:val="000000" w:themeColor="text1"/>
        </w:rPr>
        <w:t>.</w:t>
      </w:r>
    </w:p>
    <w:p w14:paraId="51672C55" w14:textId="209311F0" w:rsidR="004E13E3" w:rsidRPr="00F80786" w:rsidRDefault="00F80786" w:rsidP="00F80786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F80786">
        <w:rPr>
          <w:b/>
          <w:bCs/>
          <w:color w:val="000000" w:themeColor="text1"/>
        </w:rPr>
        <w:t>l</w:t>
      </w:r>
      <w:r w:rsidR="004E13E3" w:rsidRPr="00F80786">
        <w:rPr>
          <w:b/>
          <w:bCs/>
          <w:color w:val="000000" w:themeColor="text1"/>
        </w:rPr>
        <w:t>ow level structures</w:t>
      </w:r>
      <w:r>
        <w:rPr>
          <w:color w:val="000000" w:themeColor="text1"/>
        </w:rPr>
        <w:t xml:space="preserve">: </w:t>
      </w:r>
      <w:r w:rsidR="004E13E3" w:rsidRPr="00F80786">
        <w:rPr>
          <w:color w:val="000000" w:themeColor="text1"/>
        </w:rPr>
        <w:t xml:space="preserve">&lt;subparagraph&gt; , &lt;list&gt; with multiple </w:t>
      </w:r>
      <w:r w:rsidR="004E13E3" w:rsidRPr="00F80786">
        <w:rPr>
          <w:color w:val="000000" w:themeColor="text1"/>
        </w:rPr>
        <w:t>&lt;point&gt;or &lt;indent&gt;</w:t>
      </w:r>
      <w:r w:rsidR="004E13E3" w:rsidRPr="00F80786">
        <w:rPr>
          <w:color w:val="000000" w:themeColor="text1"/>
        </w:rPr>
        <w:t xml:space="preserve"> and </w:t>
      </w:r>
      <w:r w:rsidR="004E13E3" w:rsidRPr="00F80786">
        <w:rPr>
          <w:color w:val="000000" w:themeColor="text1"/>
        </w:rPr>
        <w:t>an</w:t>
      </w:r>
      <w:r>
        <w:rPr>
          <w:color w:val="000000" w:themeColor="text1"/>
        </w:rPr>
        <w:t xml:space="preserve"> optional</w:t>
      </w:r>
      <w:r w:rsidR="004E13E3" w:rsidRPr="00F80786">
        <w:rPr>
          <w:color w:val="000000" w:themeColor="text1"/>
        </w:rPr>
        <w:t xml:space="preserve"> introductory and</w:t>
      </w:r>
      <w:r w:rsidR="004E13E3" w:rsidRPr="00F80786">
        <w:rPr>
          <w:color w:val="000000" w:themeColor="text1"/>
        </w:rPr>
        <w:t>/or</w:t>
      </w:r>
      <w:r w:rsidR="004E13E3" w:rsidRPr="00F80786">
        <w:rPr>
          <w:color w:val="000000" w:themeColor="text1"/>
        </w:rPr>
        <w:t xml:space="preserve"> final part</w:t>
      </w:r>
      <w:r w:rsidR="004E13E3" w:rsidRPr="00F80786">
        <w:rPr>
          <w:color w:val="000000" w:themeColor="text1"/>
        </w:rPr>
        <w:t>, or</w:t>
      </w:r>
      <w:r>
        <w:rPr>
          <w:color w:val="000000" w:themeColor="text1"/>
        </w:rPr>
        <w:t xml:space="preserve"> a </w:t>
      </w:r>
      <w:r w:rsidR="004E13E3" w:rsidRPr="00F80786">
        <w:rPr>
          <w:color w:val="000000" w:themeColor="text1"/>
        </w:rPr>
        <w:t>table / scientific formula / figure as &lt;hcontainer&gt;</w:t>
      </w:r>
      <w:r w:rsidRPr="00F80786">
        <w:rPr>
          <w:color w:val="000000" w:themeColor="text1"/>
        </w:rPr>
        <w:t xml:space="preserve"> which itself can contain a &lt;subparagraph&gt; or &gt;list&gt; and optional legend </w:t>
      </w:r>
      <w:r>
        <w:rPr>
          <w:color w:val="000000" w:themeColor="text1"/>
        </w:rPr>
        <w:t>(</w:t>
      </w:r>
      <w:r w:rsidRPr="00F80786">
        <w:rPr>
          <w:color w:val="000000" w:themeColor="text1"/>
        </w:rPr>
        <w:t>&lt;hcontainer&gt;</w:t>
      </w:r>
      <w:r w:rsidR="004E13E3" w:rsidRPr="00F80786">
        <w:rPr>
          <w:color w:val="000000" w:themeColor="text1"/>
        </w:rPr>
        <w:t>)</w:t>
      </w:r>
      <w:r w:rsidRPr="00F80786">
        <w:rPr>
          <w:color w:val="000000" w:themeColor="text1"/>
        </w:rPr>
        <w:t>.</w:t>
      </w:r>
    </w:p>
    <w:p w14:paraId="483FAFB5" w14:textId="77777777" w:rsidR="00F80786" w:rsidRDefault="00F80786" w:rsidP="00F909EB">
      <w:pPr>
        <w:rPr>
          <w:color w:val="000000" w:themeColor="text1"/>
        </w:rPr>
      </w:pPr>
    </w:p>
    <w:p w14:paraId="176A6A30" w14:textId="494FD170" w:rsidR="00F909EB" w:rsidRPr="00F909EB" w:rsidRDefault="00F909EB" w:rsidP="00F909EB">
      <w:pPr>
        <w:rPr>
          <w:color w:val="000000" w:themeColor="text1"/>
        </w:rPr>
      </w:pPr>
      <w:r w:rsidRPr="00F909EB">
        <w:rPr>
          <w:color w:val="000000" w:themeColor="text1"/>
        </w:rPr>
        <w:t>AKN4EU uses the following named structures</w:t>
      </w:r>
      <w:r w:rsidR="004E13E3">
        <w:rPr>
          <w:color w:val="000000" w:themeColor="text1"/>
        </w:rPr>
        <w:t xml:space="preserve"> </w:t>
      </w:r>
      <w:r w:rsidR="004E13E3" w:rsidRPr="008F564D">
        <w:rPr>
          <w:color w:val="000000" w:themeColor="text1"/>
          <w:highlight w:val="yellow"/>
        </w:rPr>
        <w:t>relevant for identifier</w:t>
      </w:r>
      <w:r w:rsidR="004E13E3">
        <w:rPr>
          <w:color w:val="000000" w:themeColor="text1"/>
          <w:highlight w:val="yellow"/>
        </w:rPr>
        <w:t>s for building URL</w:t>
      </w:r>
      <w:r w:rsidR="004E13E3" w:rsidRPr="008F564D">
        <w:rPr>
          <w:color w:val="000000" w:themeColor="text1"/>
          <w:highlight w:val="yellow"/>
        </w:rPr>
        <w:t>s</w:t>
      </w:r>
    </w:p>
    <w:p w14:paraId="68788495" w14:textId="39B7B5AE" w:rsidR="00F909EB" w:rsidRPr="00F909EB" w:rsidRDefault="00F909EB" w:rsidP="00F909EB">
      <w:pPr>
        <w:rPr>
          <w:color w:val="000000" w:themeColor="text1"/>
        </w:rPr>
      </w:pPr>
      <w:r w:rsidRPr="008F564D">
        <w:rPr>
          <w:color w:val="000000" w:themeColor="text1"/>
          <w:highlight w:val="yellow"/>
        </w:rPr>
        <w:t>- Title (element &lt;title&gt;),</w:t>
      </w:r>
      <w:r w:rsidR="008F564D" w:rsidRPr="008F564D">
        <w:rPr>
          <w:color w:val="000000" w:themeColor="text1"/>
          <w:highlight w:val="yellow"/>
        </w:rPr>
        <w:t xml:space="preserve"> =&gt; the only </w:t>
      </w:r>
      <w:r w:rsidR="004E13E3" w:rsidRPr="008F564D">
        <w:rPr>
          <w:color w:val="000000" w:themeColor="text1"/>
          <w:highlight w:val="yellow"/>
        </w:rPr>
        <w:t>relevant for identifier</w:t>
      </w:r>
      <w:r w:rsidR="004E13E3">
        <w:rPr>
          <w:color w:val="000000" w:themeColor="text1"/>
          <w:highlight w:val="yellow"/>
        </w:rPr>
        <w:t>s for building URL</w:t>
      </w:r>
      <w:r w:rsidR="004E13E3" w:rsidRPr="008F564D">
        <w:rPr>
          <w:color w:val="000000" w:themeColor="text1"/>
          <w:highlight w:val="yellow"/>
        </w:rPr>
        <w:t>s</w:t>
      </w:r>
    </w:p>
    <w:p w14:paraId="66D72C00" w14:textId="1F13C182" w:rsidR="00F909EB" w:rsidRPr="00B735BC" w:rsidRDefault="00B735BC" w:rsidP="00F909EB">
      <w:pPr>
        <w:rPr>
          <w:color w:val="EE0000"/>
        </w:rPr>
      </w:pPr>
      <w:r w:rsidRPr="00B735BC">
        <w:rPr>
          <w:color w:val="EE0000"/>
        </w:rPr>
        <w:t>7.4 Local reference</w:t>
      </w:r>
    </w:p>
    <w:p w14:paraId="23689623" w14:textId="77777777" w:rsidR="00B735BC" w:rsidRDefault="00B735BC" w:rsidP="00565529"/>
    <w:p w14:paraId="4D14308F" w14:textId="77777777" w:rsidR="00565529" w:rsidRPr="00F533EA" w:rsidRDefault="00565529" w:rsidP="00B821DB"/>
    <w:sectPr w:rsidR="00565529" w:rsidRPr="00F5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8D344" w14:textId="77777777" w:rsidR="001F20E9" w:rsidRDefault="001F20E9" w:rsidP="00D1488F">
      <w:pPr>
        <w:spacing w:after="0" w:line="240" w:lineRule="auto"/>
      </w:pPr>
      <w:r>
        <w:separator/>
      </w:r>
    </w:p>
  </w:endnote>
  <w:endnote w:type="continuationSeparator" w:id="0">
    <w:p w14:paraId="6EF4FB8E" w14:textId="77777777" w:rsidR="001F20E9" w:rsidRDefault="001F20E9" w:rsidP="00D14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9BCC7" w14:textId="77777777" w:rsidR="001F20E9" w:rsidRDefault="001F20E9" w:rsidP="00D1488F">
      <w:pPr>
        <w:spacing w:after="0" w:line="240" w:lineRule="auto"/>
      </w:pPr>
      <w:r>
        <w:separator/>
      </w:r>
    </w:p>
  </w:footnote>
  <w:footnote w:type="continuationSeparator" w:id="0">
    <w:p w14:paraId="1AAFB875" w14:textId="77777777" w:rsidR="001F20E9" w:rsidRDefault="001F20E9" w:rsidP="00D1488F">
      <w:pPr>
        <w:spacing w:after="0" w:line="240" w:lineRule="auto"/>
      </w:pPr>
      <w:r>
        <w:continuationSeparator/>
      </w:r>
    </w:p>
  </w:footnote>
  <w:footnote w:id="1">
    <w:p w14:paraId="7DEAA0C1" w14:textId="77777777" w:rsidR="008C57CF" w:rsidRPr="008C57CF" w:rsidRDefault="008C57CF" w:rsidP="008C57C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C57CF">
        <w:t>The value of the @name attribute of any Akoma Ntoso document type element MUST be the authority</w:t>
      </w:r>
    </w:p>
    <w:p w14:paraId="4A706F0B" w14:textId="7E5EC61E" w:rsidR="008C57CF" w:rsidRPr="008C57CF" w:rsidRDefault="008C57CF">
      <w:pPr>
        <w:pStyle w:val="FootnoteText"/>
      </w:pPr>
      <w:r w:rsidRPr="008C57CF">
        <w:t>code from the Authority table "</w:t>
      </w:r>
      <w:r>
        <w:fldChar w:fldCharType="begin"/>
      </w:r>
      <w:r>
        <w:instrText>HYPERLINK "http://publications.europa.eu/resource/authority/resource-type"</w:instrText>
      </w:r>
      <w:r>
        <w:fldChar w:fldCharType="separate"/>
      </w:r>
      <w:r w:rsidRPr="008C57CF">
        <w:rPr>
          <w:rStyle w:val="Hyperlink"/>
        </w:rPr>
        <w:t>resource-type</w:t>
      </w:r>
      <w:r>
        <w:fldChar w:fldCharType="end"/>
      </w:r>
      <w:r w:rsidRPr="008C57CF">
        <w:t>"</w:t>
      </w:r>
    </w:p>
  </w:footnote>
  <w:footnote w:id="2">
    <w:p w14:paraId="34D4522C" w14:textId="77777777" w:rsidR="003E5991" w:rsidRPr="003E5991" w:rsidRDefault="003E5991" w:rsidP="003E5991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hyperlink r:id="rId1" w:history="1">
        <w:proofErr w:type="spellStart"/>
        <w:r w:rsidRPr="003E5991">
          <w:rPr>
            <w:rStyle w:val="Hyperlink"/>
            <w:lang w:val="en-GB"/>
          </w:rPr>
          <w:t>Parlamentswörterbuch</w:t>
        </w:r>
        <w:proofErr w:type="spellEnd"/>
      </w:hyperlink>
    </w:p>
  </w:footnote>
  <w:footnote w:id="3">
    <w:p w14:paraId="20B8527D" w14:textId="186DD0B4" w:rsidR="00A473DB" w:rsidRPr="00A473DB" w:rsidRDefault="00A473D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A473DB">
        <w:t> </w:t>
      </w:r>
      <w:r w:rsidRPr="00A473DB">
        <w:t>AKN4EU PART 1 - 7.6 Table of content</w:t>
      </w:r>
      <w:r>
        <w:t xml:space="preserve">: consisting of a </w:t>
      </w:r>
      <w:r w:rsidRPr="00A473DB">
        <w:t>&lt;blockContainer&gt; with an optional &lt;heading&gt; follow</w:t>
      </w:r>
      <w:r>
        <w:t>ed</w:t>
      </w:r>
      <w:r w:rsidRPr="00A473DB">
        <w:t xml:space="preserve"> by the &lt;toc&gt; element for the mark-up of the</w:t>
      </w:r>
      <w:r>
        <w:t xml:space="preserve"> annex</w:t>
      </w:r>
    </w:p>
  </w:footnote>
  <w:footnote w:id="4">
    <w:p w14:paraId="2551EFF2" w14:textId="252985D7" w:rsidR="00234960" w:rsidRPr="00234960" w:rsidRDefault="0023496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34960">
        <w:t>This includes any resources that are in another format (e.g., jpeg, png, SVG or MathML).</w:t>
      </w:r>
    </w:p>
  </w:footnote>
  <w:footnote w:id="5">
    <w:p w14:paraId="1CFC1B46" w14:textId="356E6C50" w:rsidR="00234960" w:rsidRPr="00234960" w:rsidRDefault="0023496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Permitted subfolders are media and renditions, with subfolders html, pdf and Word (not mandatory).</w:t>
      </w:r>
    </w:p>
  </w:footnote>
  <w:footnote w:id="6">
    <w:p w14:paraId="098F6B1B" w14:textId="77777777" w:rsidR="00234960" w:rsidRPr="00234960" w:rsidRDefault="00234960" w:rsidP="0023496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34960">
        <w:t>For example, if the English variant of an AKN4EU_LEG package is named</w:t>
      </w:r>
    </w:p>
    <w:p w14:paraId="5E0CA4CD" w14:textId="77777777" w:rsidR="00234960" w:rsidRPr="00234960" w:rsidRDefault="00234960" w:rsidP="00234960">
      <w:pPr>
        <w:pStyle w:val="FootnoteText"/>
        <w:rPr>
          <w:i/>
          <w:iCs/>
        </w:rPr>
      </w:pPr>
      <w:r w:rsidRPr="00234960">
        <w:rPr>
          <w:i/>
          <w:iCs/>
        </w:rPr>
        <w:t>PROP_ACT-COM(2013)_824-final-en.leg (‘-en-‘ contains the 2-letter code of English language)</w:t>
      </w:r>
    </w:p>
    <w:p w14:paraId="261B3CF1" w14:textId="77777777" w:rsidR="00234960" w:rsidRPr="00234960" w:rsidRDefault="00234960" w:rsidP="00234960">
      <w:pPr>
        <w:pStyle w:val="FootnoteText"/>
      </w:pPr>
      <w:r w:rsidRPr="00234960">
        <w:t>the corresponding AKN4EU_LEG package of the French variant MUST necessarily be named :</w:t>
      </w:r>
    </w:p>
    <w:p w14:paraId="775AE9F4" w14:textId="696F2CEF" w:rsidR="00234960" w:rsidRPr="00234960" w:rsidRDefault="00234960">
      <w:pPr>
        <w:pStyle w:val="FootnoteText"/>
        <w:rPr>
          <w:i/>
          <w:iCs/>
        </w:rPr>
      </w:pPr>
      <w:r w:rsidRPr="00234960">
        <w:rPr>
          <w:i/>
          <w:iCs/>
        </w:rPr>
        <w:t>PROP_ACT-COM(2013)_824-final-</w:t>
      </w:r>
      <w:r w:rsidRPr="00234960">
        <w:rPr>
          <w:b/>
          <w:bCs/>
          <w:i/>
          <w:iCs/>
          <w:u w:val="single"/>
        </w:rPr>
        <w:t>fr</w:t>
      </w:r>
      <w:r w:rsidRPr="00234960">
        <w:rPr>
          <w:i/>
          <w:iCs/>
        </w:rPr>
        <w:t>.leg (‘-fr-‘ contains the 2-letter code of French language)</w:t>
      </w:r>
    </w:p>
  </w:footnote>
  <w:footnote w:id="7">
    <w:p w14:paraId="50E1C028" w14:textId="58BF5823" w:rsidR="00A80DE4" w:rsidRPr="00A80DE4" w:rsidRDefault="00A80DE4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t>Older versions of EU acts were allowed to have a &lt;subsection</w:t>
      </w:r>
      <w:r w:rsidRPr="00A80DE4">
        <w:rPr>
          <w:lang w:val="en-GB"/>
        </w:rPr>
        <w:t>&gt;.</w:t>
      </w:r>
    </w:p>
  </w:footnote>
  <w:footnote w:id="8">
    <w:p w14:paraId="3F8DC1FC" w14:textId="3C57B823" w:rsidR="00601A8A" w:rsidRPr="00601A8A" w:rsidRDefault="00A80DE4">
      <w:pPr>
        <w:pStyle w:val="FootnoteText"/>
        <w:rPr>
          <w:color w:val="000000" w:themeColor="text1"/>
        </w:rPr>
      </w:pPr>
      <w:r>
        <w:rPr>
          <w:rStyle w:val="FootnoteReference"/>
        </w:rPr>
        <w:footnoteRef/>
      </w:r>
      <w:r>
        <w:t xml:space="preserve"> </w:t>
      </w:r>
      <w:r w:rsidRPr="00A80DE4">
        <w:rPr>
          <w:lang w:val="en-GB"/>
        </w:rPr>
        <w:t>Example</w:t>
      </w:r>
      <w:r>
        <w:rPr>
          <w:lang w:val="en-GB"/>
        </w:rPr>
        <w:t xml:space="preserve"> of</w:t>
      </w:r>
      <w:r>
        <w:rPr>
          <w:color w:val="000000" w:themeColor="text1"/>
        </w:rPr>
        <w:t>the hierarchical model: The heading sequence</w:t>
      </w:r>
      <w:r>
        <w:rPr>
          <w:color w:val="000000" w:themeColor="text1"/>
        </w:rPr>
        <w:t xml:space="preserve"> </w:t>
      </w:r>
      <w:bookmarkStart w:id="11" w:name="OLE_LINK13"/>
      <w:r>
        <w:rPr>
          <w:color w:val="000000" w:themeColor="text1"/>
        </w:rPr>
        <w:t xml:space="preserve">III. </w:t>
      </w:r>
      <w:r>
        <w:rPr>
          <w:color w:val="000000" w:themeColor="text1"/>
        </w:rPr>
        <w:t>A. 12.</w:t>
      </w:r>
      <w:r>
        <w:rPr>
          <w:color w:val="000000" w:themeColor="text1"/>
        </w:rPr>
        <w:t xml:space="preserve">, </w:t>
      </w:r>
      <w:bookmarkEnd w:id="11"/>
      <w:r>
        <w:rPr>
          <w:color w:val="000000" w:themeColor="text1"/>
        </w:rPr>
        <w:t>III. A. 1</w:t>
      </w:r>
      <w:r>
        <w:rPr>
          <w:color w:val="000000" w:themeColor="text1"/>
        </w:rPr>
        <w:t xml:space="preserve">3., </w:t>
      </w:r>
      <w:r>
        <w:rPr>
          <w:color w:val="000000" w:themeColor="text1"/>
        </w:rPr>
        <w:t>III. A. 1</w:t>
      </w:r>
      <w:r>
        <w:rPr>
          <w:color w:val="000000" w:themeColor="text1"/>
        </w:rPr>
        <w:t>4., etc. where each level is a &lt;subdivision&gt;:</w:t>
      </w:r>
      <w:r>
        <w:rPr>
          <w:color w:val="000000" w:themeColor="text1"/>
        </w:rPr>
        <w:br/>
      </w:r>
      <w:r w:rsidRPr="00A80DE4">
        <w:rPr>
          <w:lang w:val="en-GB"/>
        </w:rPr>
        <w:drawing>
          <wp:inline distT="0" distB="0" distL="0" distR="0" wp14:anchorId="4513E1EF" wp14:editId="6A5CE8D6">
            <wp:extent cx="5731510" cy="2017395"/>
            <wp:effectExtent l="0" t="0" r="0" b="1905"/>
            <wp:docPr id="105894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36445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footnote>
  <w:footnote w:id="9">
    <w:p w14:paraId="3B50815B" w14:textId="00EF831D" w:rsidR="00601A8A" w:rsidRPr="00601A8A" w:rsidRDefault="00601A8A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color w:val="000000" w:themeColor="text1"/>
        </w:rPr>
        <w:t xml:space="preserve">The </w:t>
      </w:r>
      <w:r w:rsidRPr="00601A8A">
        <w:rPr>
          <w:color w:val="000000" w:themeColor="text1"/>
        </w:rPr>
        <w:t>@class</w:t>
      </w:r>
      <w:r>
        <w:rPr>
          <w:color w:val="000000" w:themeColor="text1"/>
        </w:rPr>
        <w:t xml:space="preserve"> </w:t>
      </w:r>
      <w:r w:rsidRPr="00601A8A">
        <w:rPr>
          <w:color w:val="000000" w:themeColor="text1"/>
        </w:rPr>
        <w:t>attribute</w:t>
      </w:r>
      <w:r>
        <w:rPr>
          <w:color w:val="000000" w:themeColor="text1"/>
        </w:rPr>
        <w:t xml:space="preserve"> is required because the </w:t>
      </w:r>
      <w:r w:rsidRPr="00601A8A">
        <w:rPr>
          <w:color w:val="000000" w:themeColor="text1"/>
        </w:rPr>
        <w:t xml:space="preserve">hierarchical structure </w:t>
      </w:r>
      <w:r>
        <w:rPr>
          <w:color w:val="000000" w:themeColor="text1"/>
        </w:rPr>
        <w:t xml:space="preserve">is </w:t>
      </w:r>
      <w:r w:rsidRPr="00601A8A">
        <w:rPr>
          <w:color w:val="000000" w:themeColor="text1"/>
        </w:rPr>
        <w:t>represented in flat way</w:t>
      </w:r>
      <w:r>
        <w:rPr>
          <w:color w:val="000000" w:themeColor="text1"/>
        </w:rPr>
        <w:t>.</w:t>
      </w:r>
    </w:p>
  </w:footnote>
  <w:footnote w:id="10">
    <w:p w14:paraId="56112125" w14:textId="570F46FA" w:rsidR="00601A8A" w:rsidRPr="00601A8A" w:rsidRDefault="00601A8A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color w:val="000000" w:themeColor="text1"/>
        </w:rPr>
        <w:t>Example of the flat representation (same as above):</w:t>
      </w:r>
      <w:r>
        <w:rPr>
          <w:color w:val="000000" w:themeColor="text1"/>
        </w:rPr>
        <w:br/>
      </w:r>
      <w:r w:rsidRPr="00601A8A">
        <w:rPr>
          <w:lang w:val="en-GB"/>
        </w:rPr>
        <w:drawing>
          <wp:inline distT="0" distB="0" distL="0" distR="0" wp14:anchorId="0471B38D" wp14:editId="3848A0A2">
            <wp:extent cx="5731510" cy="1030605"/>
            <wp:effectExtent l="0" t="0" r="0" b="0"/>
            <wp:docPr id="161840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6229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footnote>
  <w:footnote w:id="11">
    <w:p w14:paraId="295C1F00" w14:textId="477D6E9F" w:rsidR="00601A8A" w:rsidRPr="00601A8A" w:rsidRDefault="00601A8A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601A8A">
        <w:t>For example, a &lt;division classe="type_3"&gt; cannot directly follow a &lt;division class="type_1"&gt;</w:t>
      </w:r>
      <w:r>
        <w:t>.</w:t>
      </w:r>
    </w:p>
  </w:footnote>
  <w:footnote w:id="12">
    <w:p w14:paraId="07620E52" w14:textId="6EB8D326" w:rsidR="00205F50" w:rsidRPr="00205F50" w:rsidRDefault="00205F50" w:rsidP="00205F5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</w:t>
      </w:r>
      <w:r w:rsidRPr="00205F50">
        <w:t>"</w:t>
      </w:r>
      <w:r>
        <w:t>n</w:t>
      </w:r>
      <w:r w:rsidRPr="00205F50">
        <w:t>umbered paragraph" always starts with a &lt;num&gt; while "unnumbered paragraph" cannot start with a</w:t>
      </w:r>
    </w:p>
    <w:p w14:paraId="610B177A" w14:textId="57A8D6CD" w:rsidR="00205F50" w:rsidRPr="00205F50" w:rsidRDefault="00205F50">
      <w:pPr>
        <w:pStyle w:val="FootnoteText"/>
      </w:pPr>
      <w:r w:rsidRPr="00205F50">
        <w:t>&lt;num&gt;.</w:t>
      </w:r>
    </w:p>
  </w:footnote>
  <w:footnote w:id="13">
    <w:p w14:paraId="1B7DFA70" w14:textId="77777777" w:rsidR="00C7569F" w:rsidRPr="00C7569F" w:rsidRDefault="00C7569F" w:rsidP="00C7569F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bookmarkStart w:id="14" w:name="OLE_LINK18"/>
      <w:r w:rsidRPr="00C7569F">
        <w:rPr>
          <w:lang w:val="en-GB"/>
        </w:rPr>
        <w:t>Example of a «</w:t>
      </w:r>
      <w:r>
        <w:rPr>
          <w:lang w:val="en-GB"/>
        </w:rPr>
        <w:t>simple block of text</w:t>
      </w:r>
      <w:r w:rsidRPr="00C7569F">
        <w:rPr>
          <w:lang w:val="en-GB"/>
        </w:rPr>
        <w:t>»</w:t>
      </w:r>
      <w:r>
        <w:rPr>
          <w:lang w:val="en-GB"/>
        </w:rPr>
        <w:t>:</w:t>
      </w:r>
      <w:bookmarkEnd w:id="14"/>
      <w:r>
        <w:rPr>
          <w:lang w:val="en-GB"/>
        </w:rPr>
        <w:br/>
      </w:r>
      <w:r w:rsidRPr="00C7569F">
        <w:rPr>
          <w:lang w:val="en-GB"/>
        </w:rPr>
        <w:drawing>
          <wp:inline distT="0" distB="0" distL="0" distR="0" wp14:anchorId="4AFD6D55" wp14:editId="77583D21">
            <wp:extent cx="5731510" cy="1758315"/>
            <wp:effectExtent l="0" t="0" r="0" b="0"/>
            <wp:docPr id="129819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93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footnote>
  <w:footnote w:id="14">
    <w:p w14:paraId="01AFC79C" w14:textId="4BCBC715" w:rsidR="00EE6B4B" w:rsidRPr="00EE6B4B" w:rsidRDefault="00EE6B4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kern w:val="0"/>
          <w:lang w:val="en-GB"/>
          <w14:ligatures w14:val="none"/>
        </w:rPr>
        <w:t>Example of a «numbered paragraph»:</w:t>
      </w:r>
      <w:r>
        <w:rPr>
          <w:kern w:val="0"/>
          <w:lang w:val="en-GB"/>
          <w14:ligatures w14:val="none"/>
        </w:rPr>
        <w:br/>
      </w:r>
      <w:r w:rsidRPr="00EE6B4B">
        <w:drawing>
          <wp:inline distT="0" distB="0" distL="0" distR="0" wp14:anchorId="63A14200" wp14:editId="2CCA7DAC">
            <wp:extent cx="5731510" cy="6262370"/>
            <wp:effectExtent l="0" t="0" r="0" b="0"/>
            <wp:docPr id="169852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22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footnote>
  <w:footnote w:id="15">
    <w:p w14:paraId="2AF6A354" w14:textId="77777777" w:rsidR="00C7569F" w:rsidRDefault="00C7569F" w:rsidP="00C7569F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C7569F">
        <w:rPr>
          <w:lang w:val="en-GB"/>
        </w:rPr>
        <w:t>Example of a «unnumbered paragraph»:</w:t>
      </w:r>
      <w:r w:rsidRPr="00C7569F">
        <w:rPr>
          <w:lang w:val="en-GB"/>
        </w:rPr>
        <w:br/>
      </w:r>
      <w:r w:rsidRPr="00C7569F">
        <w:rPr>
          <w:lang w:val="en-GB"/>
        </w:rPr>
        <w:drawing>
          <wp:inline distT="0" distB="0" distL="0" distR="0" wp14:anchorId="244963EB" wp14:editId="2E8AF6FA">
            <wp:extent cx="5731510" cy="3161665"/>
            <wp:effectExtent l="0" t="0" r="0" b="635"/>
            <wp:docPr id="64029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96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882F" w14:textId="77777777" w:rsidR="00C7569F" w:rsidRPr="00C7569F" w:rsidRDefault="00C7569F" w:rsidP="00C7569F">
      <w:pPr>
        <w:pStyle w:val="FootnoteText"/>
        <w:rPr>
          <w:lang w:val="en-GB"/>
        </w:rPr>
      </w:pPr>
      <w:r w:rsidRPr="00C7569F">
        <w:rPr>
          <w:lang w:val="en-GB"/>
        </w:rPr>
        <w:drawing>
          <wp:inline distT="0" distB="0" distL="0" distR="0" wp14:anchorId="2431AF09" wp14:editId="2114BA6C">
            <wp:extent cx="5731510" cy="1501775"/>
            <wp:effectExtent l="0" t="0" r="0" b="0"/>
            <wp:docPr id="33514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42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85424"/>
    <w:multiLevelType w:val="hybridMultilevel"/>
    <w:tmpl w:val="6AD29C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B2336"/>
    <w:multiLevelType w:val="hybridMultilevel"/>
    <w:tmpl w:val="25102E78"/>
    <w:lvl w:ilvl="0" w:tplc="0D5621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256D5"/>
    <w:multiLevelType w:val="hybridMultilevel"/>
    <w:tmpl w:val="C8F62670"/>
    <w:lvl w:ilvl="0" w:tplc="0D5621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688054">
    <w:abstractNumId w:val="0"/>
  </w:num>
  <w:num w:numId="2" w16cid:durableId="155152184">
    <w:abstractNumId w:val="2"/>
  </w:num>
  <w:num w:numId="3" w16cid:durableId="776023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EA"/>
    <w:rsid w:val="00032BCF"/>
    <w:rsid w:val="000E6236"/>
    <w:rsid w:val="00164E16"/>
    <w:rsid w:val="00194C2F"/>
    <w:rsid w:val="001F20E9"/>
    <w:rsid w:val="00205F50"/>
    <w:rsid w:val="00234960"/>
    <w:rsid w:val="003E5991"/>
    <w:rsid w:val="0040602B"/>
    <w:rsid w:val="0043574E"/>
    <w:rsid w:val="004B1C9D"/>
    <w:rsid w:val="004B3FBD"/>
    <w:rsid w:val="004E13E3"/>
    <w:rsid w:val="00565529"/>
    <w:rsid w:val="0059643D"/>
    <w:rsid w:val="00601A8A"/>
    <w:rsid w:val="00741CC4"/>
    <w:rsid w:val="007D55A3"/>
    <w:rsid w:val="00883CCA"/>
    <w:rsid w:val="008C57CF"/>
    <w:rsid w:val="008F564D"/>
    <w:rsid w:val="00A02D13"/>
    <w:rsid w:val="00A473DB"/>
    <w:rsid w:val="00A80DE4"/>
    <w:rsid w:val="00B735BC"/>
    <w:rsid w:val="00B821DB"/>
    <w:rsid w:val="00BD51B0"/>
    <w:rsid w:val="00C40F4D"/>
    <w:rsid w:val="00C7569F"/>
    <w:rsid w:val="00C95DA6"/>
    <w:rsid w:val="00D1033E"/>
    <w:rsid w:val="00D1488F"/>
    <w:rsid w:val="00DA3D2F"/>
    <w:rsid w:val="00E16E31"/>
    <w:rsid w:val="00E4633C"/>
    <w:rsid w:val="00EA7219"/>
    <w:rsid w:val="00EE6B4B"/>
    <w:rsid w:val="00F533EA"/>
    <w:rsid w:val="00F565B1"/>
    <w:rsid w:val="00F80786"/>
    <w:rsid w:val="00F909EB"/>
    <w:rsid w:val="00FE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FA2773"/>
  <w15:chartTrackingRefBased/>
  <w15:docId w15:val="{1E19F042-F702-C345-BE6E-9ABA4AB4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EB"/>
  </w:style>
  <w:style w:type="paragraph" w:styleId="Heading1">
    <w:name w:val="heading 1"/>
    <w:basedOn w:val="Normal"/>
    <w:next w:val="Normal"/>
    <w:link w:val="Heading1Char"/>
    <w:uiPriority w:val="9"/>
    <w:qFormat/>
    <w:rsid w:val="00F53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3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3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2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7D55A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D1488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1488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1488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148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8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7" Type="http://schemas.openxmlformats.org/officeDocument/2006/relationships/image" Target="media/image11.png"/><Relationship Id="rId2" Type="http://schemas.openxmlformats.org/officeDocument/2006/relationships/image" Target="media/image6.png"/><Relationship Id="rId1" Type="http://schemas.openxmlformats.org/officeDocument/2006/relationships/hyperlink" Target="https://www.parlament.ch/en/%C3%BCber-das-parlament/parlamentsw%C3%B6rterbuch/parlamentsw%C3%B6rterbuch-detail?WordId=22" TargetMode="External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1495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Zürcher</dc:creator>
  <cp:keywords/>
  <dc:description/>
  <cp:lastModifiedBy>Hannah Zürcher</cp:lastModifiedBy>
  <cp:revision>3</cp:revision>
  <dcterms:created xsi:type="dcterms:W3CDTF">2026-03-25T13:56:00Z</dcterms:created>
  <dcterms:modified xsi:type="dcterms:W3CDTF">2026-03-25T13:57:00Z</dcterms:modified>
</cp:coreProperties>
</file>