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3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35" w:name="structure-dune-livraison"/>
    <w:p>
      <w:pPr>
        <w:pStyle w:val="berschrift2"/>
      </w:pPr>
      <w:r>
        <w:t xml:space="preserve">Structure d’une livraison</w:t>
      </w:r>
    </w:p>
    <w:p>
      <w:pPr>
        <w:pStyle w:val="FirstParagraph"/>
      </w:pPr>
      <w:r>
        <w:t xml:space="preserve">Une livraison est un</w:t>
      </w:r>
      <w:r>
        <w:t xml:space="preserve"> </w:t>
      </w:r>
      <w:r>
        <w:rPr>
          <w:rStyle w:val="VerbatimChar"/>
        </w:rPr>
        <w:t xml:space="preserve">Container</w:t>
      </w:r>
      <w:r>
        <w:t xml:space="preserve"> </w:t>
      </w:r>
      <w:r>
        <w:t xml:space="preserve">: une enveloppe dotée de sa propre</w:t>
      </w:r>
      <w:r>
        <w:t xml:space="preserve"> </w:t>
      </w:r>
      <w:r>
        <w:rPr>
          <w:rStyle w:val="VerbatimChar"/>
        </w:rPr>
        <w:t xml:space="preserve">global_uri</w:t>
      </w:r>
      <w:r>
        <w:t xml:space="preserve"> </w:t>
      </w:r>
      <w:r>
        <w:t xml:space="preserve">et d’une collection par classe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et</w:t>
      </w:r>
      <w:r>
        <w:t xml:space="preserve"> </w:t>
      </w:r>
      <w:r>
        <w:rPr>
          <w:rStyle w:val="VerbatimChar"/>
        </w:rPr>
        <w:t xml:space="preserve">resolutions</w:t>
      </w:r>
      <w:r>
        <w:t xml:space="preserve">. Les points de l’ordre du jour n’ont pas de collection propre : ils sont livrés au sein de leur séance ou de leur session (</w:t>
      </w:r>
      <w:r>
        <w:rPr>
          <w:rStyle w:val="VerbatimChar"/>
        </w:rPr>
        <w:t xml:space="preserve">agenda_items</w:t>
      </w:r>
      <w:r>
        <w:t xml:space="preserve">). Toutes les collections sont facultatives : qui ne publie que des séances ne livre que</w:t>
      </w:r>
      <w:r>
        <w:t xml:space="preserve"> </w:t>
      </w:r>
      <w:r>
        <w:rPr>
          <w:rStyle w:val="VerbatimChar"/>
        </w:rPr>
        <w:t xml:space="preserve">meetings</w:t>
      </w:r>
      <w:r>
        <w:t xml:space="preserve">.</w:t>
      </w:r>
    </w:p>
    <w:p>
      <w:pPr>
        <w:pStyle w:val="Textkrper"/>
      </w:pPr>
      <w:r>
        <w:t xml:space="preserve">Les entités y sont placées côte à côte, à plat, et reliées par des références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et ainsi de suite — plutôt qu’imbriquées les unes dans les autres. Il est ainsi possible de livrer après coup une séance isolée sans réémettre toute la législature, et de référencer la même entité depuis plusieurs endroits. Là où l’imbrication rend mieux le lien, elle reste possible : la session reprend ses séances sous forme de liste, le procès-verbal ses points de l’ordre du jour, ses votes et ses interventions.</w:t>
      </w:r>
    </w:p>
    <w:bookmarkStart w:id="34" w:name="classe-container"/>
    <w:p>
      <w:pPr>
        <w:pStyle w:val="berschrift3"/>
      </w:pPr>
      <w:r>
        <w:t xml:space="preserve">Classe: Container</w:t>
      </w:r>
      <w:r>
        <w:t xml:space="preserve"> </w:t>
      </w:r>
      <w:bookmarkStart w:id="24" w:name="Container"/>
      <w:bookmarkEnd w:id="24"/>
    </w:p>
    <w:p>
      <w:pPr>
        <w:pStyle w:val="FirstParagraph"/>
      </w:pPr>
      <w:r>
        <w:rPr>
          <w:i/>
          <w:iCs/>
        </w:rPr>
        <w:t xml:space="preserve">Conteneur pour les données de l’activité publique des conseils : législatures, sessions, séances, procès-verbaux, votes, élections, présences, interventions et décisions.</w:t>
      </w:r>
    </w:p>
    <w:bookmarkStart w:id="25" w:name="attributs"/>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protocols</w:t>
            </w:r>
          </w:p>
        </w:tc>
        <w:tc>
          <w:tcPr>
            <w:shd w:val="clear" w:color="auto" w:fill="F2F2F2"/>
          </w:tcPr>
          <w:p>
            <w:pPr>
              <w:pStyle w:val="Compact"/>
            </w:pPr>
            <w:r>
              <w:t xml:space="preserve">*</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Ensemble des procès-verbaux.</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Ensemble des élections.</w:t>
            </w:r>
          </w:p>
        </w:tc>
      </w:tr>
      <w:tr>
        <w:tc>
          <w:tcPr/>
          <w:p>
            <w:pPr>
              <w:pStyle w:val="Compact"/>
            </w:pPr>
            <w:r>
              <w:t xml:space="preserve">individual_votes</w:t>
            </w:r>
          </w:p>
        </w:tc>
        <w:tc>
          <w:tcPr/>
          <w:p>
            <w:pPr>
              <w:pStyle w:val="Compact"/>
            </w:pPr>
            <w:r>
              <w:t xml:space="preserve">*</w:t>
            </w:r>
            <w:r>
              <w:t xml:space="preserve"> </w:t>
            </w:r>
            <w:r>
              <w:t xml:space="preserve"> </w:t>
            </w:r>
            <w:hyperlink w:anchor="IndividualVote">
              <w:r>
                <w:rPr>
                  <w:rStyle w:val="Hyperlink"/>
                </w:rPr>
                <w:t xml:space="preserve">IndividualVote</w:t>
              </w:r>
            </w:hyperlink>
          </w:p>
        </w:tc>
        <w:tc>
          <w:tcPr/>
          <w:p>
            <w:pPr>
              <w:pStyle w:val="Compact"/>
            </w:pPr>
            <w:r>
              <w:t xml:space="preserve">Ensemble des voix individuelles.</w:t>
            </w:r>
          </w:p>
        </w:tc>
      </w:tr>
      <w:tr>
        <w:tc>
          <w:tcPr>
            <w:shd w:val="clear" w:color="auto" w:fill="F2F2F2"/>
          </w:tcPr>
          <w:p>
            <w:pPr>
              <w:pStyle w:val="Compact"/>
            </w:pPr>
            <w:r>
              <w:t xml:space="preserve">attendances</w:t>
            </w:r>
          </w:p>
        </w:tc>
        <w:tc>
          <w:tcPr>
            <w:shd w:val="clear" w:color="auto" w:fill="F2F2F2"/>
          </w:tcPr>
          <w:p>
            <w:pPr>
              <w:pStyle w:val="Compact"/>
            </w:pPr>
            <w:r>
              <w:t xml:space="preserve">*</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Ensemble des listes de présence.</w:t>
            </w:r>
          </w:p>
        </w:tc>
      </w:tr>
      <w:tr>
        <w:tc>
          <w:tcPr/>
          <w:p>
            <w:pPr>
              <w:pStyle w:val="Compact"/>
            </w:pPr>
            <w:r>
              <w:t xml:space="preserve">individual_attendances</w:t>
            </w:r>
          </w:p>
        </w:tc>
        <w:tc>
          <w:tcPr/>
          <w:p>
            <w:pPr>
              <w:pStyle w:val="Compact"/>
            </w:pPr>
            <w:r>
              <w:t xml:space="preserve">*</w:t>
            </w:r>
            <w:r>
              <w:t xml:space="preserve"> </w:t>
            </w:r>
            <w:r>
              <w:t xml:space="preserve"> </w:t>
            </w:r>
            <w:hyperlink w:anchor="IndividualAttendance">
              <w:r>
                <w:rPr>
                  <w:rStyle w:val="Hyperlink"/>
                </w:rPr>
                <w:t xml:space="preserve">IndividualAttendance</w:t>
              </w:r>
            </w:hyperlink>
          </w:p>
        </w:tc>
        <w:tc>
          <w:tcPr/>
          <w:p>
            <w:pPr>
              <w:pStyle w:val="Compact"/>
            </w:pPr>
            <w:r>
              <w:t xml:space="preserve">Ensemble des constatations individuelles de présence.</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resolutions</w:t>
            </w:r>
          </w:p>
        </w:tc>
        <w:tc>
          <w:tcPr/>
          <w:p>
            <w:pPr>
              <w:pStyle w:val="Compact"/>
            </w:pPr>
            <w:r>
              <w:t xml:space="preserve">*</w:t>
            </w:r>
            <w:r>
              <w:t xml:space="preserve"> </w:t>
            </w:r>
            <w:r>
              <w:t xml:space="preserve"> </w:t>
            </w:r>
            <w:hyperlink w:anchor="Resolution">
              <w:r>
                <w:rPr>
                  <w:rStyle w:val="Hyperlink"/>
                </w:rPr>
                <w:t xml:space="preserve">Resolution</w:t>
              </w:r>
            </w:hyperlink>
          </w:p>
        </w:tc>
        <w:tc>
          <w:tcPr/>
          <w:p>
            <w:pPr>
              <w:pStyle w:val="Compact"/>
            </w:pPr>
            <w:r>
              <w:t xml:space="preserve">Ensemble des décisions.</w:t>
            </w:r>
          </w:p>
        </w:tc>
      </w:tr>
    </w:tbl>
    <w:bookmarkEnd w:id="25"/>
    <w:bookmarkStart w:id="33" w:name="exemples"/>
    <w:p>
      <w:pPr>
        <w:pStyle w:val="berschrift4"/>
      </w:pPr>
      <w:r>
        <w:t xml:space="preserve">Exemples</w:t>
      </w:r>
    </w:p>
    <w:bookmarkStart w:id="26" w:name="exemple-container-legislature"/>
    <w:p>
      <w:pPr>
        <w:pStyle w:val="berschrift5"/>
      </w:pPr>
      <w:r>
        <w:t xml:space="preserve">Exemple Container :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6"/>
    <w:bookmarkStart w:id="27" w:name="exemple-container-session"/>
    <w:p>
      <w:pPr>
        <w:pStyle w:val="berschrift5"/>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7"/>
    <w:bookmarkStart w:id="28" w:name="Xeda7bd5693332166d1c1040d1c21b3698f13210"/>
    <w:p>
      <w:pPr>
        <w:pStyle w:val="berschrift5"/>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8"/>
    <w:bookmarkStart w:id="29" w:name="exemple-container-voting"/>
    <w:p>
      <w:pPr>
        <w:pStyle w:val="berschrift5"/>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
    <w:bookmarkStart w:id="30" w:name="exemple-container-meeting-complete"/>
    <w:p>
      <w:pPr>
        <w:pStyle w:val="berschrift5"/>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"2025-11-20"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30"/>
    <w:bookmarkStart w:id="31" w:name="exemple-container-meeting"/>
    <w:p>
      <w:pPr>
        <w:pStyle w:val="berschrift5"/>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exemple-container-meeting-item"/>
    <w:p>
      <w:pPr>
        <w:pStyle w:val="berschrift5"/>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"2022-03-17"</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"2023-10-03"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"2008-04-30"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"2011-11-23"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"2025-04-02"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2"/>
    <w:bookmarkEnd w:id="33"/>
    <w:p>
      <w:r>
        <w:br w:type="page"/>
      </w:r>
    </w:p>
    <w:bookmarkEnd w:id="34"/>
    <w:bookmarkEnd w:id="35"/>
    <w:bookmarkEnd w:id="36"/>
    <w:bookmarkStart w:id="89" w:name="X383016edc8e9dae52d81dc5294e3ba584e28c9b"/>
    <w:p>
      <w:pPr>
        <w:pStyle w:val="berschrift1"/>
      </w:pPr>
      <w:r>
        <w:t xml:space="preserve">Organisation temporelle du fonctionnement des conseils</w:t>
      </w:r>
    </w:p>
    <w:p>
      <w:pPr>
        <w:pStyle w:val="FirstParagraph"/>
      </w:pPr>
      <w:r>
        <w:t xml:space="preserve">Le fonctionnement des conseils est structuré dans le temps en quatre classes :</w:t>
      </w:r>
    </w:p>
    <w:p>
      <w:pPr>
        <w:pStyle w:val="SourceCode"/>
      </w:pPr>
      <w:r>
        <w:rPr>
          <w:rStyle w:val="VerbatimChar"/>
        </w:rPr>
        <w:t xml:space="preserve">Legislature (législature)</w:t>
      </w:r>
      <w:r>
        <w:br/>
      </w:r>
      <w:r>
        <w:rPr>
          <w:rStyle w:val="VerbatimChar"/>
        </w:rPr>
        <w:t xml:space="preserve">  └─ Session (p. ex. session de printemps)</w:t>
      </w:r>
      <w:r>
        <w:br/>
      </w:r>
      <w:r>
        <w:rPr>
          <w:rStyle w:val="VerbatimChar"/>
        </w:rPr>
        <w:t xml:space="preserve">      └─ Meeting (séance individuelle)</w:t>
      </w:r>
      <w:r>
        <w:br/>
      </w:r>
      <w:r>
        <w:rPr>
          <w:rStyle w:val="VerbatimChar"/>
        </w:rPr>
        <w:t xml:space="preserve">          └─ AgendaItem (point de l'ordre du jour)</w:t>
      </w:r>
    </w:p>
    <w:p>
      <w:pPr>
        <w:pStyle w:val="FirstParagraph"/>
      </w:pPr>
      <w:r>
        <w:t xml:space="preserve">La législature constitue le cadre à long terme, la session structure le travail au sein d’une législature, le Meeting est la séance concrète au cours de laquelle les affaires sont délibérées, et le point de l’ordre du jour articule la séance individuelle. Les niveaux s’emboîtent de deux manières : vers le bas, ils sont imbriqués — la session reprend ses séances (</w:t>
      </w:r>
      <w:r>
        <w:rPr>
          <w:rStyle w:val="VerbatimChar"/>
        </w:rPr>
        <w:t xml:space="preserve">meetings</w:t>
      </w:r>
      <w:r>
        <w:t xml:space="preserve">), la séance et la session leurs points de l’ordre du jour (</w:t>
      </w:r>
      <w:r>
        <w:rPr>
          <w:rStyle w:val="VerbatimChar"/>
        </w:rPr>
        <w:t xml:space="preserve">agenda_items</w:t>
      </w:r>
      <w:r>
        <w:t xml:space="preserve">) ; vers le haut, des références pointent — la session vers sa législature (</w:t>
      </w:r>
      <w:r>
        <w:rPr>
          <w:rStyle w:val="VerbatimChar"/>
        </w:rPr>
        <w:t xml:space="preserve">parent_legislature</w:t>
      </w:r>
      <w:r>
        <w:t xml:space="preserve">), la séance vers sa session (</w:t>
      </w:r>
      <w:r>
        <w:rPr>
          <w:rStyle w:val="VerbatimChar"/>
        </w:rPr>
        <w:t xml:space="preserve">parent_session</w:t>
      </w:r>
      <w:r>
        <w:t xml:space="preserve">) ou, en l’absence de session, directement vers la législature (</w:t>
      </w:r>
      <w:r>
        <w:rPr>
          <w:rStyle w:val="VerbatimChar"/>
        </w:rPr>
        <w:t xml:space="preserve">parent_legislature</w:t>
      </w:r>
      <w:r>
        <w:t xml:space="preserve">). À l’intérieur de l’ordre du jour,</w:t>
      </w:r>
      <w:r>
        <w:t xml:space="preserve"> </w:t>
      </w:r>
      <w:r>
        <w:rPr>
          <w:rStyle w:val="VerbatimChar"/>
        </w:rPr>
        <w:t xml:space="preserve">parent_agenda_item</w:t>
      </w:r>
      <w:r>
        <w:t xml:space="preserve"> </w:t>
      </w:r>
      <w:r>
        <w:t xml:space="preserve">représente la subdivision en sous-points.</w:t>
      </w:r>
    </w:p>
    <w:p>
      <w:pPr>
        <w:pStyle w:val="Textkrper"/>
      </w:pPr>
      <w:r>
        <w:t xml:space="preserve">Les trois premières classes sont décrites ci-après, le point de l’ordre du jour dans le chapitre suivant.</w:t>
      </w:r>
    </w:p>
    <w:bookmarkStart w:id="37" w:name="éléments-communs"/>
    <w:p>
      <w:pPr>
        <w:pStyle w:val="berschrift2"/>
      </w:pPr>
      <w:r>
        <w:t xml:space="preserve">Éléments communs</w:t>
      </w:r>
    </w:p>
    <w:p>
      <w:pPr>
        <w:pStyle w:val="FirstParagraph"/>
      </w:pPr>
      <w:r>
        <w:t xml:space="preserve">Les trois classes sont délibérément construites de la même manière. Les champs suivants ont la même signification à tous les niveaux.</w:t>
      </w:r>
    </w:p>
    <w:p>
      <w:pPr>
        <w:pStyle w:val="Textkrper"/>
      </w:pPr>
      <w:r>
        <w:rPr>
          <w:b/>
          <w:bCs/>
        </w:rPr>
        <w:t xml:space="preserve">Identification.</w:t>
      </w:r>
      <w:r>
        <w:t xml:space="preserve"> </w:t>
      </w:r>
      <w:r>
        <w:rPr>
          <w:rStyle w:val="VerbatimChar"/>
        </w:rPr>
        <w:t xml:space="preserve">global_uri</w:t>
      </w:r>
      <w:r>
        <w:t xml:space="preserve"> </w:t>
      </w:r>
      <w:r>
        <w:t xml:space="preserve">est l’identifiant et est obligatoire.</w:t>
      </w:r>
      <w:r>
        <w:t xml:space="preserve"> </w:t>
      </w:r>
      <w:r>
        <w:rPr>
          <w:rStyle w:val="VerbatimChar"/>
        </w:rPr>
        <w:t xml:space="preserve">local_id</w:t>
      </w:r>
      <w:r>
        <w:t xml:space="preserve"> </w:t>
      </w:r>
      <w:r>
        <w:t xml:space="preserve">reprend l’identifiant du système livreur,</w:t>
      </w:r>
      <w:r>
        <w:t xml:space="preserve"> </w:t>
      </w:r>
      <w:r>
        <w:rPr>
          <w:rStyle w:val="VerbatimChar"/>
        </w:rPr>
        <w:t xml:space="preserve">wikidata_uri</w:t>
      </w:r>
      <w:r>
        <w:t xml:space="preserve"> </w:t>
      </w:r>
      <w:r>
        <w:t xml:space="preserve">renvoie à l’entrée Wikidata, lorsqu’elle existe.</w:t>
      </w:r>
    </w:p>
    <w:p>
      <w:pPr>
        <w:pStyle w:val="Textkrper"/>
      </w:pPr>
      <w:r>
        <w:rPr>
          <w:b/>
          <w:bCs/>
        </w:rPr>
        <w:t xml:space="preserve">Début et fin.</w:t>
      </w:r>
      <w:r>
        <w:t xml:space="preserve"> </w:t>
      </w:r>
      <w:r>
        <w:t xml:space="preserve">Les indications temporelles sont consignées deux fois :</w:t>
      </w:r>
      <w:r>
        <w:t xml:space="preserve"> </w:t>
      </w:r>
      <w:r>
        <w:rPr>
          <w:rStyle w:val="VerbatimChar"/>
        </w:rPr>
        <w:t xml:space="preserve">date_begin_planned</w:t>
      </w:r>
      <w:r>
        <w:t xml:space="preserve"> </w:t>
      </w:r>
      <w:r>
        <w:t xml:space="preserve">et</w:t>
      </w:r>
      <w:r>
        <w:t xml:space="preserve"> </w:t>
      </w:r>
      <w:r>
        <w:rPr>
          <w:rStyle w:val="VerbatimChar"/>
        </w:rPr>
        <w:t xml:space="preserve">date_end_planned</w:t>
      </w:r>
      <w:r>
        <w:t xml:space="preserve"> </w:t>
      </w:r>
      <w:r>
        <w:t xml:space="preserve">retiennent ce qui était prévu,</w:t>
      </w:r>
      <w:r>
        <w:t xml:space="preserve"> </w:t>
      </w:r>
      <w:r>
        <w:rPr>
          <w:rStyle w:val="VerbatimChar"/>
        </w:rPr>
        <w:t xml:space="preserve">date_begin_actual</w:t>
      </w:r>
      <w:r>
        <w:t xml:space="preserve"> </w:t>
      </w:r>
      <w:r>
        <w:t xml:space="preserve">et</w:t>
      </w:r>
      <w:r>
        <w:t xml:space="preserve"> </w:t>
      </w:r>
      <w:r>
        <w:rPr>
          <w:rStyle w:val="VerbatimChar"/>
        </w:rPr>
        <w:t xml:space="preserve">date_end_actual</w:t>
      </w:r>
      <w:r>
        <w:t xml:space="preserve"> </w:t>
      </w:r>
      <w:r>
        <w:t xml:space="preserve">ce qui s’est effectivement passé. Lorsque l’heure importe, les variantes</w:t>
      </w:r>
      <w:r>
        <w:t xml:space="preserve"> </w:t>
      </w:r>
      <w:r>
        <w:rPr>
          <w:rStyle w:val="VerbatimChar"/>
        </w:rPr>
        <w:t xml:space="preserve">datetime_*</w:t>
      </w:r>
      <w:r>
        <w:t xml:space="preserve"> </w:t>
      </w:r>
      <w:r>
        <w:t xml:space="preserve">sont à disposition.</w:t>
      </w:r>
    </w:p>
    <w:p>
      <w:pPr>
        <w:pStyle w:val="Textkrper"/>
      </w:pPr>
      <w:r>
        <w:rPr>
          <w:b/>
          <w:bCs/>
        </w:rPr>
        <w:t xml:space="preserve">Espace et organe.</w:t>
      </w:r>
      <w:r>
        <w:t xml:space="preserve"> </w:t>
      </w:r>
      <w:r>
        <w:rPr>
          <w:rStyle w:val="VerbatimChar"/>
        </w:rPr>
        <w:t xml:space="preserve">spatial</w:t>
      </w:r>
      <w:r>
        <w:t xml:space="preserve"> </w:t>
      </w:r>
      <w:r>
        <w:t xml:space="preserve">renvoie à l’unité spatiale selon LINDAS — pays, canton, district ou commune, donc</w:t>
      </w:r>
      <w:r>
        <w:t xml:space="preserve"> </w:t>
      </w:r>
      <w:r>
        <w:rPr>
          <w:rStyle w:val="VerbatimChar"/>
        </w:rPr>
        <w:t xml:space="preserve">https://ld.admin.ch/canton/2</w:t>
      </w:r>
      <w:r>
        <w:t xml:space="preserve"> </w:t>
      </w:r>
      <w:r>
        <w:t xml:space="preserve">et non « BE ». C’est le champ avec lequel eCH-0294 localise ses groupes, de sorte qu’un fonctionnement de conseil et les acteurs qui le portent renvoient à la même ressource. Qui siège au sein de cette unité spatiale est indiqué par</w:t>
      </w:r>
      <w:r>
        <w:t xml:space="preserve"> </w:t>
      </w:r>
      <w:r>
        <w:rPr>
          <w:rStyle w:val="VerbatimChar"/>
        </w:rPr>
        <w:t xml:space="preserve">actor_id</w:t>
      </w:r>
      <w:r>
        <w:t xml:space="preserve">, référence abrégée à l’organe selon eCH-0294.</w:t>
      </w:r>
    </w:p>
    <w:p>
      <w:pPr>
        <w:pStyle w:val="Textkrper"/>
      </w:pPr>
      <w:r>
        <w:rPr>
          <w:b/>
          <w:bCs/>
        </w:rPr>
        <w:t xml:space="preserve">Documents liés.</w:t>
      </w:r>
      <w:r>
        <w:t xml:space="preserve"> </w:t>
      </w:r>
      <w:r>
        <w:rPr>
          <w:rStyle w:val="VerbatimChar"/>
        </w:rPr>
        <w:t xml:space="preserve">documents</w:t>
      </w:r>
      <w:r>
        <w:t xml:space="preserve"> </w:t>
      </w:r>
      <w:r>
        <w:t xml:space="preserve">relie des documents en tant que FRBR-Works selon eCH-0292 — pour la législature p. ex. les listes des membres et les répertoires des affaires, pour la session le programme de session, pour la séance le bulletin et les annexes (le procès-verbal, en revanche, via</w:t>
      </w:r>
      <w:r>
        <w:t xml:space="preserve"> </w:t>
      </w:r>
      <w:r>
        <w:rPr>
          <w:rStyle w:val="VerbatimChar"/>
        </w:rPr>
        <w:t xml:space="preserve">has_protocol</w:t>
      </w:r>
      <w:r>
        <w:t xml:space="preserve">).</w:t>
      </w:r>
    </w:p>
    <w:bookmarkEnd w:id="37"/>
    <w:bookmarkStart w:id="46" w:name="legislature-législature"/>
    <w:p>
      <w:pPr>
        <w:pStyle w:val="berschrift2"/>
      </w:pPr>
      <w:r>
        <w:t xml:space="preserve">Legislature (législature)</w:t>
      </w:r>
    </w:p>
    <w:p>
      <w:pPr>
        <w:pStyle w:val="FirstParagraph"/>
      </w:pPr>
      <w:r>
        <w:t xml:space="preserve">Une législature désigne la période pour laquelle un parlement est élu et durant laquelle il exerce ses fonctions dans sa composition actuelle.</w:t>
      </w:r>
    </w:p>
    <w:bookmarkStart w:id="45" w:name="classe-legislature"/>
    <w:p>
      <w:pPr>
        <w:pStyle w:val="berschrift3"/>
      </w:pPr>
      <w:r>
        <w:t xml:space="preserve">Classe: Legislature</w:t>
      </w:r>
      <w:r>
        <w:t xml:space="preserve"> </w:t>
      </w:r>
      <w:bookmarkStart w:id="38" w:name="Legislature"/>
      <w:bookmarkEnd w:id="38"/>
    </w:p>
    <w:p>
      <w:pPr>
        <w:pStyle w:val="FirstParagraph"/>
      </w:pPr>
      <w:r>
        <w:rPr>
          <w:i/>
          <w:iCs/>
        </w:rPr>
        <w:t xml:space="preserve">Durée du mandat d’un parlement en tant qu’assemblée législative. Elle est en règle générale de quatre ans.</w:t>
      </w:r>
    </w:p>
    <w:bookmarkStart w:id="39" w:name="attributs-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
    <w:bookmarkStart w:id="40" w:name="utilisations"/>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emples-1"/>
    <w:p>
      <w:pPr>
        <w:pStyle w:val="berschrift4"/>
      </w:pPr>
      <w:r>
        <w:t xml:space="preserve">Exemples</w:t>
      </w:r>
    </w:p>
    <w:bookmarkStart w:id="41" w:name="Xce91be2c19f83d5e19f91e1fb09b5f250ea8c06"/>
    <w:p>
      <w:pPr>
        <w:pStyle w:val="berschrift5"/>
      </w:pPr>
      <w:r>
        <w:t xml:space="preserve">Exemple Legislature : Législature cantonale d’une durée de quatre ans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1"/>
    <w:bookmarkStart w:id="42" w:name="X643c7e1c10fa82fe4406431d14f87abb0c23963"/>
    <w:p>
      <w:pPr>
        <w:pStyle w:val="berschrift5"/>
      </w:pPr>
      <w:r>
        <w:t xml:space="preserve">Exemple Legislature :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cbfc2a4de45c7fa4fa9809f701bd39922e86c2a"/>
    <w:p>
      <w:pPr>
        <w:pStyle w:val="berschrift5"/>
      </w:pPr>
      <w:r>
        <w:t xml:space="preserve">Exemple Legislature :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3"/>
    <w:bookmarkEnd w:id="44"/>
    <w:bookmarkEnd w:id="45"/>
    <w:bookmarkEnd w:id="46"/>
    <w:bookmarkStart w:id="56" w:name="session-période-de-séance"/>
    <w:p>
      <w:pPr>
        <w:pStyle w:val="berschrift2"/>
      </w:pPr>
      <w:r>
        <w:t xml:space="preserve">Session (période de séance)</w:t>
      </w:r>
    </w:p>
    <w:p>
      <w:pPr>
        <w:pStyle w:val="FirstParagraph"/>
      </w:pPr>
      <w:r>
        <w:t xml:space="preserve">Une session est une période de séance continue au cours de laquelle plusieurs séances ont lieu.</w:t>
      </w:r>
    </w:p>
    <w:bookmarkStart w:id="55" w:name="classe-session"/>
    <w:p>
      <w:pPr>
        <w:pStyle w:val="berschrift3"/>
      </w:pPr>
      <w:r>
        <w:t xml:space="preserve">Classe: Session</w:t>
      </w:r>
      <w:r>
        <w:t xml:space="preserve"> </w:t>
      </w:r>
      <w:bookmarkStart w:id="47" w:name="Session"/>
      <w:bookmarkEnd w:id="47"/>
    </w:p>
    <w:p>
      <w:pPr>
        <w:pStyle w:val="FirstParagraph"/>
      </w:pPr>
      <w:r>
        <w:rPr>
          <w:i/>
          <w:iCs/>
        </w:rPr>
        <w:t xml:space="preserve">Une session : une période de séances continue au sein d’une législature. Elle regroupe ses séances (meetings) et peut aussi porter directement des points de l’ordre du jour (agenda_items). La session est le seul des trois niveaux temporels auquel il est possible de renoncer : les unités fédérales sans sessions formelles l’omettent et rattachent leurs séances directement à la législature (parent_legislature). Session et séance peuvent aussi coïncider — une séance d’un jour d’un parlement cantonal ou une Landsgemeinde est représentée comme une session comprenant une seule séance, ou comme une session qui porte directement ses points de l’ordre du jour, sans séance.</w:t>
      </w:r>
    </w:p>
    <w:bookmarkStart w:id="48" w:name="attributs-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de la session ou de la séance tel qu’attribué par l’organe, p. ex. au sein de la législature, de la session ou de l’année. En tant que chaîne de caractères, il admet aussi les chiffres romains. Les pratiques de numérotation variant fortement, number, sequential_number, position et meeting_abbreviation sont disponibles côte à côte.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d’ordre de la session ou de la séance sous forme de nombre entier,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entière au sein de la séquence supérieure, p. ex. d’une session au sein de la législature.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législature à laquelle la session ou la séance appartient. Une séance qui fait partie d’une session est rattachée à la législature par la session (parent_session) ; une séance sans session — par exemple une séance de commission ou une séance dans une unité fédérale sans sessions formelles — renvoie directement à la législature.</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Points de l’ordre du jour planifiés pour cette séance ou cette session, imbriqués sous forme de liste. Pour une séance, ils forment son ordre du jour. Pour une session, ils contiennent les points planifiés directement au niveau de la session — lorsqu’une unité fédérale ne subdivise pas la session en séances (p. ex. une Landsgemeinde ou une séance d’un jour d’un parlement cantonal), ou pour des points qui ne sont pas (encore) attribués à une séance déterminée, comme dans un programme de session. Leur pendant après la séance sont les points consignés au procès-verbal (Protocol.protocol_items).</w:t>
            </w:r>
          </w:p>
        </w:tc>
      </w:tr>
      <w:tr>
        <w:tc>
          <w:tcPr/>
          <w:p>
            <w:pPr>
              <w:pStyle w:val="Compact"/>
            </w:pPr>
            <w:r>
              <w:t xml:space="preserve">joint_debates</w:t>
            </w:r>
          </w:p>
        </w:tc>
        <w:tc>
          <w:tcPr/>
          <w:p>
            <w:pPr>
              <w:pStyle w:val="Compact"/>
            </w:pPr>
            <w:r>
              <w:t xml:space="preserve">*</w:t>
            </w:r>
            <w:r>
              <w:t xml:space="preserve"> </w:t>
            </w:r>
            <w:r>
              <w:t xml:space="preserve"> </w:t>
            </w:r>
            <w:hyperlink w:anchor="JointDebate">
              <w:r>
                <w:rPr>
                  <w:rStyle w:val="Hyperlink"/>
                </w:rPr>
                <w:t xml:space="preserve">JointDebate</w:t>
              </w:r>
            </w:hyperlink>
          </w:p>
        </w:tc>
        <w:tc>
          <w:tcPr/>
          <w:p>
            <w:pPr>
              <w:pStyle w:val="Compact"/>
            </w:pPr>
            <w:r>
              <w:t xml:space="preserve">Délibérations communes rattachées à cet enregistrement : pour un point de l’ordre du jour, les délibérations dans lesquelles il est traité conjointement avec d’autres points ; pour une séance ou une session, les délibérations communes qui s’y tiennent.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48"/>
    <w:bookmarkStart w:id="49" w:name="utilisations-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emples-2"/>
    <w:p>
      <w:pPr>
        <w:pStyle w:val="berschrift4"/>
      </w:pPr>
      <w:r>
        <w:t xml:space="preserve">Exemples</w:t>
      </w:r>
    </w:p>
    <w:bookmarkStart w:id="50" w:name="X07201b17e1ecfe4d5dc98afb0cfec65b00be3d5"/>
    <w:p>
      <w:pPr>
        <w:pStyle w:val="berschrift5"/>
      </w:pPr>
      <w:r>
        <w:t xml:space="preserve">Exemple Session : Période de séance d’un jour d’un Grand Conseil</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0"/>
    <w:bookmarkStart w:id="51" w:name="X48d69c1d3a6d9de5e6f46a82203e9ade834c8b3"/>
    <w:p>
      <w:pPr>
        <w:pStyle w:val="berschrift5"/>
      </w:pPr>
      <w:r>
        <w:t xml:space="preserve">Exemple Session :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23c6beb59b2c78bebf8f9eabbce74b9fffcd91f"/>
    <w:p>
      <w:pPr>
        <w:pStyle w:val="berschrift5"/>
      </w:pPr>
      <w:r>
        <w:t xml:space="preserve">Exemple Session :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c34fd34afabc5211892825e074694f80391ab1c"/>
    <w:p>
      <w:pPr>
        <w:pStyle w:val="berschrift5"/>
      </w:pPr>
      <w:r>
        <w:t xml:space="preserve">Exemple Session :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3"/>
    <w:bookmarkEnd w:id="54"/>
    <w:bookmarkEnd w:id="55"/>
    <w:bookmarkEnd w:id="56"/>
    <w:bookmarkStart w:id="88" w:name="meeting-séance-individuelle"/>
    <w:p>
      <w:pPr>
        <w:pStyle w:val="berschrift2"/>
      </w:pPr>
      <w:r>
        <w:t xml:space="preserve">Meeting (séance individuelle)</w:t>
      </w:r>
    </w:p>
    <w:p>
      <w:pPr>
        <w:pStyle w:val="FirstParagraph"/>
      </w:pPr>
      <w:r>
        <w:t xml:space="preserve">Un Meeting est la séance individuelle d’un organe — le niveau auquel les points de l’ordre du jour sont délibérés, les décisions prises et les interventions consignées.</w:t>
      </w:r>
    </w:p>
    <w:bookmarkStart w:id="80" w:name="classe-meeting"/>
    <w:p>
      <w:pPr>
        <w:pStyle w:val="berschrift3"/>
      </w:pPr>
      <w:r>
        <w:t xml:space="preserve">Classe: Meeting</w:t>
      </w:r>
      <w:r>
        <w:t xml:space="preserve"> </w:t>
      </w:r>
      <w:bookmarkStart w:id="57" w:name="Meeting"/>
      <w:bookmarkEnd w:id="57"/>
    </w:p>
    <w:p>
      <w:pPr>
        <w:pStyle w:val="FirstParagraph"/>
      </w:pPr>
      <w:r>
        <w:rPr>
          <w:i/>
          <w:iCs/>
        </w:rPr>
        <w:t xml:space="preserve">La séance individuelle d’un organe — le niveau auquel les points de l’ordre du jour sont délibérés, les décisions prises et les interventions consignées. La séance est le nœud auquel se rattachent les autres classes de la présente norme : ses points de l’ordre du jour (AgendaItem) y sont imbriqués (agenda_items), tandis que les votes et élections (Voting, Election), les interventions (Speech) ainsi que la liste de présence (Attendance) y renvoient via</w:t>
      </w:r>
      <w:r>
        <w:rPr>
          <w:i/>
          <w:iCs/>
        </w:rPr>
        <w:t xml:space="preserve"> </w:t>
      </w:r>
      <w:r>
        <w:rPr>
          <w:rStyle w:val="VerbatimChar"/>
          <w:i/>
          <w:iCs/>
        </w:rPr>
        <w:t xml:space="preserve">parent_meeting</w:t>
      </w:r>
      <w:r>
        <w:rPr>
          <w:i/>
          <w:iCs/>
        </w:rPr>
        <w:t xml:space="preserve">. À ce niveau, les heures prévues et les heures effectives divergent régulièrement — une séance fixée à 14h00 ne commence, en raison de retards, qu’à 14h25 et se termine à 17h30 au lieu de 18h00 —, raison pour laquelle le début et la fin sont consignés tant prévus qu’effectifs.</w:t>
      </w:r>
    </w:p>
    <w:bookmarkStart w:id="58" w:name="attributs-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p>
        </w:tc>
      </w:tr>
      <w:tr>
        <w:tc>
          <w:tcPr/>
          <w:p>
            <w:pPr>
              <w:pStyle w:val="Compact"/>
            </w:pPr>
            <w:r>
              <w:t xml:space="preserve">group_name</w:t>
            </w:r>
          </w:p>
        </w:tc>
        <w:tc>
          <w:tcPr/>
          <w:p>
            <w:pPr>
              <w:pStyle w:val="Compact"/>
            </w:pPr>
            <w:r>
              <w:t xml:space="preserve">0..1</w:t>
            </w:r>
            <w:r>
              <w:t xml:space="preserve"> </w:t>
            </w:r>
            <w:r>
              <w:t xml:space="preserve"> </w:t>
            </w:r>
            <w:r>
              <w:t xml:space="preserve">String</w:t>
            </w:r>
          </w:p>
        </w:tc>
        <w:tc>
          <w:tcPr/>
          <w:p>
            <w:pPr>
              <w:pStyle w:val="Compact"/>
            </w:pPr>
            <w:r>
              <w:t xml:space="preserve">Nom du groupe ou de l’organe en clair, en complément de la référence</w:t>
            </w:r>
            <w:r>
              <w:t xml:space="preserve"> </w:t>
            </w:r>
            <w:r>
              <w:rPr>
                <w:rStyle w:val="VerbatimChar"/>
              </w:rPr>
              <w:t xml:space="preserve">group_id</w:t>
            </w:r>
            <w:r>
              <w:t xml:space="preserve">.</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 groupe ou à l’organe (instantané au moment de la mise en relation).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de la session ou de la séance tel qu’attribué par l’organe, p. ex. au sein de la législature, de la session ou de l’année. En tant que chaîne de caractères, il admet aussi les chiffres romains. Les pratiques de numérotation variant fortement, number, sequential_number, position et meeting_abbreviation sont disponibles côte à côte.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sequential_number</w:t>
            </w:r>
          </w:p>
        </w:tc>
        <w:tc>
          <w:tcPr/>
          <w:p>
            <w:pPr>
              <w:pStyle w:val="Compact"/>
            </w:pPr>
            <w:r>
              <w:t xml:space="preserve">0..1</w:t>
            </w:r>
            <w:r>
              <w:t xml:space="preserve"> </w:t>
            </w:r>
            <w:r>
              <w:t xml:space="preserve"> </w:t>
            </w:r>
            <w:r>
              <w:t xml:space="preserve">Integer</w:t>
            </w:r>
          </w:p>
        </w:tc>
        <w:tc>
          <w:tcPr/>
          <w:p>
            <w:pPr>
              <w:pStyle w:val="Compact"/>
            </w:pPr>
            <w:r>
              <w:t xml:space="preserve">Numéro d’ordre de la session ou de la séance sous forme de nombre entier, utilisé pour le tri.</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Position entière au sein de la séquence supérieure, p. ex. d’une session au sein de la législature.</w:t>
            </w:r>
          </w:p>
        </w:tc>
      </w:tr>
      <w:tr>
        <w:tc>
          <w:tcPr/>
          <w:p>
            <w:pPr>
              <w:pStyle w:val="Compact"/>
            </w:pPr>
            <w:r>
              <w:t xml:space="preserve">meeting_abbreviation</w:t>
            </w:r>
          </w:p>
        </w:tc>
        <w:tc>
          <w:tcPr/>
          <w:p>
            <w:pPr>
              <w:pStyle w:val="Compact"/>
            </w:pPr>
            <w:r>
              <w:t xml:space="preserve">0..1</w:t>
            </w:r>
            <w:r>
              <w:t xml:space="preserve"> </w:t>
            </w:r>
            <w:r>
              <w:t xml:space="preserve"> </w:t>
            </w:r>
            <w:r>
              <w:t xml:space="preserve">String</w:t>
            </w:r>
          </w:p>
        </w:tc>
        <w:tc>
          <w:tcPr/>
          <w:p>
            <w:pPr>
              <w:pStyle w:val="Compact"/>
            </w:pPr>
            <w:r>
              <w:t xml:space="preserve">Désignation abrégée de la session ou de la séance (p. ex. « FS24 » pour la session de printemps 2024).</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de l’organe politique en clair (p. ex. Conseil national), en complément de la référence</w:t>
            </w:r>
            <w:r>
              <w:t xml:space="preserve"> </w:t>
            </w:r>
            <w:r>
              <w:rPr>
                <w:rStyle w:val="VerbatimChar"/>
              </w:rPr>
              <w:t xml:space="preserve">actor_id</w:t>
            </w:r>
            <w:r>
              <w:t xml:space="preserv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Indique si la séance a lieu comme prévu (planifiée, annulée, reportée). Une désignation divergente, en texte libre, est reprise dans</w:t>
            </w:r>
            <w:r>
              <w:t xml:space="preserve"> </w:t>
            </w:r>
            <w:r>
              <w:rPr>
                <w:rStyle w:val="VerbatimChar"/>
              </w:rPr>
              <w:t xml:space="preserve">state_name</w:t>
            </w:r>
            <w:r>
              <w:t xml:space="preserv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Désignation de statut divergente, en texte libre, de la séance, là où les valeurs de</w:t>
            </w:r>
            <w:r>
              <w:t xml:space="preserve"> </w:t>
            </w:r>
            <w:r>
              <w:rPr>
                <w:rStyle w:val="VerbatimChar"/>
              </w:rPr>
              <w:t xml:space="preserve">state</w:t>
            </w:r>
            <w:r>
              <w:t xml:space="preserve"> </w:t>
            </w:r>
            <w:r>
              <w:t xml:space="preserve">ne suffisent pas.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location</w:t>
            </w:r>
          </w:p>
        </w:tc>
        <w:tc>
          <w:tcPr/>
          <w:p>
            <w:pPr>
              <w:pStyle w:val="Compact"/>
            </w:pPr>
            <w:r>
              <w:t xml:space="preserve">0..1</w:t>
            </w:r>
            <w:r>
              <w:t xml:space="preserve"> </w:t>
            </w:r>
            <w:r>
              <w:t xml:space="preserve"> </w:t>
            </w:r>
            <w:r>
              <w:t xml:space="preserve">String</w:t>
            </w:r>
          </w:p>
        </w:tc>
        <w:tc>
          <w:tcPr/>
          <w:p>
            <w:pPr>
              <w:pStyle w:val="Compact"/>
            </w:pPr>
            <w:r>
              <w:t xml:space="preserve">Lieu où se tient la séance — la salle physique (« Palais fédéral, salle du Conseil national »), une visioconférence ou un format hybride.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à laquelle cet enregistrement se rattache. Pour une séance, il désigne la séance supérieure ; pour un vote, une élection, une intervention, une liste de présence ou un procès-verbal, la séance au cours de laquelle l’enregistrement est né. Les points de l’ordre du jour ne le portent pas : ils sont imbriqués dans leur séance.</w:t>
            </w:r>
          </w:p>
        </w:tc>
      </w:tr>
      <w:tr>
        <w:tc>
          <w:tcPr/>
          <w:p>
            <w:pPr>
              <w:pStyle w:val="Compact"/>
            </w:pPr>
            <w:r>
              <w:t xml:space="preserve">parent_legislature</w:t>
            </w:r>
          </w:p>
        </w:tc>
        <w:tc>
          <w:tcPr/>
          <w:p>
            <w:pPr>
              <w:pStyle w:val="Compact"/>
            </w:pPr>
            <w:r>
              <w:t xml:space="preserve">0..1</w:t>
            </w:r>
            <w:r>
              <w:t xml:space="preserve"> </w:t>
            </w:r>
            <w:r>
              <w:t xml:space="preserve"> </w:t>
            </w:r>
            <w:r>
              <w:t xml:space="preserve">String</w:t>
            </w:r>
          </w:p>
        </w:tc>
        <w:tc>
          <w:tcPr/>
          <w:p>
            <w:pPr>
              <w:pStyle w:val="Compact"/>
            </w:pPr>
            <w:r>
              <w:t xml:space="preserve">Identifiant de la législature à laquelle la session ou la séance appartient. Une séance qui fait partie d’une session est rattachée à la législature par la session (parent_session) ; une séance sans session — par exemple une séance de commission ou une séance dans une unité fédérale sans sessions formelles — renvoie directement à la législature.</w:t>
            </w:r>
          </w:p>
        </w:tc>
      </w:tr>
      <w:tr>
        <w:tc>
          <w:tcPr>
            <w:shd w:val="clear" w:color="auto" w:fill="F2F2F2"/>
          </w:tcPr>
          <w:p>
            <w:pPr>
              <w:pStyle w:val="Compact"/>
            </w:pPr>
            <w:r>
              <w:t xml:space="preserve">parent_session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session à laquelle la séance appartient.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Documents de séance tels que le bulletin (Tagblatt) ou les annexes, sous forme de FRBR Works. Le procès-verbal n’est pas lié ici, mais via</w:t>
            </w:r>
            <w:r>
              <w:t xml:space="preserve"> </w:t>
            </w:r>
            <w:r>
              <w:rPr>
                <w:rStyle w:val="VerbatimChar"/>
              </w:rPr>
              <w:t xml:space="preserve">has_protocol</w:t>
            </w:r>
            <w:r>
              <w:t xml:space="preserve">.</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Points de l’ordre du jour planifiés pour cette séance ou cette session, imbriqués sous forme de liste. Pour une séance, ils forment son ordre du jour. Pour une session, ils contiennent les points planifiés directement au niveau de la session — lorsqu’une unité fédérale ne subdivise pas la session en séances (p. ex. une Landsgemeinde ou une séance d’un jour d’un parlement cantonal), ou pour des points qui ne sont pas (encore) attribués à une séance déterminée, comme dans un programme de session. Leur pendant après la séance sont les points consignés au procès-verbal (Protocol.protocol_items).</w:t>
            </w:r>
          </w:p>
        </w:tc>
      </w:tr>
      <w:tr>
        <w:tc>
          <w:tcPr/>
          <w:p>
            <w:pPr>
              <w:pStyle w:val="Compact"/>
            </w:pPr>
            <w:r>
              <w:t xml:space="preserve">has_protocol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Référence au procès-verbal de cette séance, établi après celle-ci. Seul l’identifiant du procès-verbal est indiqué ; le procès-verbal lui-même est livré dans la liste</w:t>
            </w:r>
            <w:r>
              <w:t xml:space="preserve"> </w:t>
            </w:r>
            <w:r>
              <w:rPr>
                <w:rStyle w:val="VerbatimChar"/>
              </w:rPr>
              <w:t xml:space="preserve">protocols</w:t>
            </w:r>
            <w:r>
              <w:t xml:space="preserve"> </w:t>
            </w:r>
            <w:r>
              <w:t xml:space="preserve">du conteneur. Il constitue une entité à part entière dotée de son propre identifiant et est en règle générale publié après la séance, raison pour laquelle il est référencé et non imbriqué.</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Délibérations communes rattachées à cet enregistrement : pour un point de l’ordre du jour, les délibérations dans lesquelles il est traité conjointement avec d’autres points ; pour une séance ou une session, les délibérations communes qui s’y tiennent.</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8"/>
    <w:bookmarkStart w:id="59" w:name="utilisations-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59"/>
    <w:bookmarkStart w:id="79" w:name="exemples-3"/>
    <w:p>
      <w:pPr>
        <w:pStyle w:val="berschrift4"/>
      </w:pPr>
      <w:r>
        <w:t xml:space="preserve">Exemples</w:t>
      </w:r>
    </w:p>
    <w:bookmarkStart w:id="60" w:name="Xeffd095e1a4b784794f1db4f3769dced48b50f4"/>
    <w:p>
      <w:pPr>
        <w:pStyle w:val="berschrift5"/>
      </w:pPr>
      <w:r>
        <w:t xml:space="preserve">Exemple Meeting : meeting item meeting be 2025 06 02</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60"/>
    <w:bookmarkStart w:id="61" w:name="X5c550e446bea275fb4c13be5ab8e7be77b9501e"/>
    <w:p>
      <w:pPr>
        <w:pStyle w:val="berschrift5"/>
      </w:pPr>
      <w:r>
        <w:t xml:space="preserve">Exemple Meeting :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w:t>
      </w:r>
      <w:r>
        <w:br/>
      </w:r>
      <w:r>
        <w:rPr>
          <w:rStyle w:val="NormalTok"/>
        </w:rPr>
        <w:t xml:space="preserve">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61"/>
    <w:bookmarkStart w:id="62" w:name="X883a172494909a246570257b2666c9618cb0fab"/>
    <w:p>
      <w:pPr>
        <w:pStyle w:val="berschrift5"/>
      </w:pPr>
      <w:r>
        <w:t xml:space="preserve">Exemple Meeting : meeting item meeting schaffhausen 2025 03 31 b</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w:t>
      </w:r>
      <w:r>
        <w:br/>
      </w:r>
      <w:r>
        <w:rPr>
          <w:rStyle w:val="NormalTok"/>
        </w:rPr>
        <w:t xml:space="preserve">        eine Stimme der Studierenden im Hochschulrat der Pädagogischen Hochschule</w:t>
      </w:r>
      <w:r>
        <w:br/>
      </w:r>
      <w:r>
        <w:rPr>
          <w:rStyle w:val="NormalTok"/>
        </w:rPr>
        <w:t xml:space="preserv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62"/>
    <w:bookmarkStart w:id="63" w:name="X142a3c69a28895a9d5d5427e6f531df5b1ef0e2"/>
    <w:p>
      <w:pPr>
        <w:pStyle w:val="berschrift5"/>
      </w:pPr>
      <w:r>
        <w:t xml:space="preserve">Exemple Meeting : meeting item meeting vaud 2008 04 30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'2008-04-30'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w:t>
      </w:r>
      <w:r>
        <w:br/>
      </w:r>
      <w:r>
        <w:rPr>
          <w:rStyle w:val="StringTok"/>
        </w:rPr>
        <w:t xml:space="preserve">        au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63"/>
    <w:bookmarkStart w:id="64" w:name="X0b87d1534d3b6eee4c30bcb15fbaf242a86ff29"/>
    <w:p>
      <w:pPr>
        <w:pStyle w:val="berschrift5"/>
      </w:pPr>
      <w:r>
        <w:t xml:space="preserve">Exemple Meeting :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4"/>
    <w:bookmarkStart w:id="65" w:name="X775897815d4252944d46a22afc29e72ce487917"/>
    <w:p>
      <w:pPr>
        <w:pStyle w:val="berschrift5"/>
      </w:pPr>
      <w:r>
        <w:t xml:space="preserve">Exemple Meeting : meeting item meeting bern 2022 03 17</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'2022-03-17'</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65"/>
    <w:bookmarkStart w:id="66" w:name="Xfb0a0f476c7253c5a07676791e3377075b5857e"/>
    <w:p>
      <w:pPr>
        <w:pStyle w:val="berschrift5"/>
      </w:pPr>
      <w:r>
        <w:t xml:space="preserve">Exemple Meeting :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6"/>
    <w:bookmarkStart w:id="67" w:name="X51778ddd7091b6efbd09f861e76b3da85a42584"/>
    <w:p>
      <w:pPr>
        <w:pStyle w:val="berschrift5"/>
      </w:pPr>
      <w:r>
        <w:t xml:space="preserve">Exemple Meeting :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7"/>
    <w:bookmarkStart w:id="68" w:name="X1dccdac6d2234a180854581c9adbbce2b2b06d4"/>
    <w:p>
      <w:pPr>
        <w:pStyle w:val="berschrift5"/>
      </w:pPr>
      <w:r>
        <w:t xml:space="preserve">Exemple Meeting :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68"/>
    <w:bookmarkStart w:id="69" w:name="Xc7507ccdbe22a5a9239e326a4adf6d0e8c32c91"/>
    <w:p>
      <w:pPr>
        <w:pStyle w:val="berschrift5"/>
      </w:pPr>
      <w:r>
        <w:t xml:space="preserve">Exemple Meeting : meeting item meeting 2011 11 23</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'2011-11-23'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69"/>
    <w:bookmarkStart w:id="70" w:name="X9716f4a298a61d762a0852ca2007140118e5bee"/>
    <w:p>
      <w:pPr>
        <w:pStyle w:val="berschrift5"/>
      </w:pPr>
      <w:r>
        <w:t xml:space="preserve">Exemple Meeting : meeting item meeting lausanne 2025 05 20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w:t>
      </w:r>
      <w:r>
        <w:br/>
      </w:r>
      <w:r>
        <w:rPr>
          <w:rStyle w:val="NormalTok"/>
        </w:rPr>
        <w:t xml:space="preserve">        faveur du respect du droit international et de la protection des populations</w:t>
      </w:r>
      <w:r>
        <w:br/>
      </w:r>
      <w:r>
        <w:rPr>
          <w:rStyle w:val="NormalTok"/>
        </w:rPr>
        <w:t xml:space="preserve">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70"/>
    <w:bookmarkStart w:id="71" w:name="Xe9d364844e30ec8a1808265586f662fbd1065e8"/>
    <w:p>
      <w:pPr>
        <w:pStyle w:val="berschrift5"/>
      </w:pPr>
      <w:r>
        <w:t xml:space="preserve">Exemple Meeting : meeting item meeting 2025 03 31</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71"/>
    <w:bookmarkStart w:id="72" w:name="Xedea3af53d73e37644d388c3489975aad9a534f"/>
    <w:p>
      <w:pPr>
        <w:pStyle w:val="berschrift5"/>
      </w:pPr>
      <w:r>
        <w:t xml:space="preserve">Exemple Meeting : meeting item meeting schaffhausen 2025 03 31</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72"/>
    <w:bookmarkStart w:id="73" w:name="Xe39f82eb7c17ccb3bcf2a322b4c156e37140566"/>
    <w:p>
      <w:pPr>
        <w:pStyle w:val="berschrift5"/>
      </w:pPr>
      <w:r>
        <w:t xml:space="preserve">Exemple Meeting : meeting item meeting bern rr 2025 04 02</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'2025-04-02'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73"/>
    <w:bookmarkStart w:id="74" w:name="X79f0f94c83926f67faa72f10153fefe1ffb8487"/>
    <w:p>
      <w:pPr>
        <w:pStyle w:val="berschrift5"/>
      </w:pPr>
      <w:r>
        <w:t xml:space="preserve">Exemple Meeting :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4"/>
    <w:bookmarkStart w:id="75" w:name="X15cc4846e955cda1cdd2c4dccfbc1117555e536"/>
    <w:p>
      <w:pPr>
        <w:pStyle w:val="berschrift5"/>
      </w:pPr>
      <w:r>
        <w:t xml:space="preserve">Exemple Meeting : meeting item meeting lausanne 2023 10 03</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'2023-10-03'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w:t>
      </w:r>
      <w:r>
        <w:br/>
      </w:r>
      <w:r>
        <w:rPr>
          <w:rStyle w:val="NormalTok"/>
        </w:rPr>
        <w:t xml:space="preserv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75"/>
    <w:bookmarkStart w:id="76" w:name="X94a8b8012d131ed1ba31bd023f09068f21548c1"/>
    <w:p>
      <w:pPr>
        <w:pStyle w:val="berschrift5"/>
      </w:pPr>
      <w:r>
        <w:t xml:space="preserve">Exemple Meeting : meeting complete meeting zh 2025 11 20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'2025-11-20'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76"/>
    <w:bookmarkStart w:id="77" w:name="Xabcec14a8a969d5ee973e971d264ea285ebc934"/>
    <w:p>
      <w:pPr>
        <w:pStyle w:val="berschrift5"/>
      </w:pPr>
      <w:r>
        <w:t xml:space="preserve">Exemple Meeting : meeting item meeting luzern 2025 01 28</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w:t>
      </w:r>
      <w:r>
        <w:br/>
      </w:r>
      <w:r>
        <w:rPr>
          <w:rStyle w:val="NormalTok"/>
        </w:rPr>
        <w:t xml:space="preserve">        Sonderschulkonkordats und zur gezielten Behebung des Fachkräftemangels im</w:t>
      </w:r>
      <w:r>
        <w:br/>
      </w:r>
      <w:r>
        <w:rPr>
          <w:rStyle w:val="NormalTok"/>
        </w:rPr>
        <w:t xml:space="preserve">        Bereich schulische Heilpädagogik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77"/>
    <w:bookmarkStart w:id="78" w:name="Xbae173e2adee289fce92c03f2001ca005c8d0fa"/>
    <w:p>
      <w:pPr>
        <w:pStyle w:val="berschrift5"/>
      </w:pPr>
      <w:r>
        <w:t xml:space="preserve">Exemple Meeting : meeting item meeting luzern 2025 01 28 b</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78"/>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État de la séance.</w:t>
      </w:r>
    </w:p>
    <w:p>
      <w:pPr>
        <w:pStyle w:val="Textkrper"/>
      </w:pPr>
      <w:r>
        <w:t xml:space="preserve">URI:</w:t>
      </w:r>
      <w:r>
        <w:t xml:space="preserve"> </w:t>
      </w:r>
      <w:hyperlink ns1:id="rId82">
        <w:r>
          <w:rPr>
            <w:rStyle w:val="Hyperlink"/>
          </w:rPr>
          <w:t xml:space="preserve">ops:StateEnum</w:t>
        </w:r>
      </w:hyperlink>
    </w:p>
    <w:bookmarkStart w:id="86" w:name="valeurs-admissibles"/>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157"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 ce qui a effectivement été traité et décidé est consigné au procès-verbal.</w:t>
      </w:r>
    </w:p>
    <w:bookmarkStart w:id="118" w:name="agendaitem-point-de-lordre-du-jour"/>
    <w:p>
      <w:pPr>
        <w:pStyle w:val="berschrift2"/>
      </w:pPr>
      <w:r>
        <w:t xml:space="preserve">AgendaItem (point de l’ordre du jour)</w:t>
      </w:r>
    </w:p>
    <w:bookmarkStart w:id="111" w:name="classe-agendaitem"/>
    <w:p>
      <w:pPr>
        <w:pStyle w:val="berschrift3"/>
      </w:pPr>
      <w:r>
        <w:t xml:space="preserve">Classe: AgendaItem</w:t>
      </w:r>
      <w:r>
        <w:t xml:space="preserve"> </w:t>
      </w:r>
      <w:bookmarkStart w:id="90" w:name="AgendaItem"/>
      <w:bookmarkEnd w:id="90"/>
    </w:p>
    <w:p>
      <w:pPr>
        <w:pStyle w:val="FirstParagraph"/>
      </w:pPr>
      <w:r>
        <w:rPr>
          <w:i/>
          <w:iCs/>
        </w:rPr>
        <w:t xml:space="preserve">Un point de l’ordre du jour d’une séance, tel que planifié à l’avance. Il structure l’ordre du jour et relie l’organisation temporelle (Meeting) aux affaires matérielles (eCH-0295). Il est imbriqué dans sa séance (Meeting.agenda_items) ou directement dans sa session (Session.agenda_items). Les points de l’ordre du jour représentent la planification d’une séance et ne sont plus modifiés dans les données une fois la séance ouverte : les écarts survenus durant la séance — points avancés, reportés ou ajoutés — sont consignés au procès-verbal (ProtocolItem) et se répercutent sur l’ordre du jour de la séance suivante. Pour la même raison, les heures prévues et effectives sont tenues séparément.</w:t>
      </w:r>
    </w:p>
    <w:bookmarkStart w:id="91" w:name="attributs-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de point de l’ordre du jour, distinguant les points isolés des groupes de points.</w:t>
            </w:r>
            <w:r>
              <w:t xml:space="preserve"> </w:t>
            </w:r>
            <w:r>
              <w:t xml:space="preserve">Héritage : IsAgendaItem</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du point sur l’ordre du jour, p. ex. « 2.1 » ou « 3 » (chaîne de caractères, afin de permettre aussi les chiffres romains).</w:t>
            </w:r>
            <w:r>
              <w:t xml:space="preserve"> </w:t>
            </w:r>
            <w:r>
              <w:t xml:space="preserve">Héritage : IsAgendaItem</w:t>
            </w:r>
          </w:p>
        </w:tc>
      </w:tr>
      <w:tr>
        <w:tc>
          <w:tcPr/>
          <w:p>
            <w:pPr>
              <w:pStyle w:val="Compact"/>
            </w:pPr>
            <w:r>
              <w:t xml:space="preserve">agenda_item_position</w:t>
            </w:r>
          </w:p>
        </w:tc>
        <w:tc>
          <w:tcPr/>
          <w:p>
            <w:pPr>
              <w:pStyle w:val="Compact"/>
            </w:pPr>
            <w:r>
              <w:t xml:space="preserve">0..1</w:t>
            </w:r>
            <w:r>
              <w:t xml:space="preserve"> </w:t>
            </w:r>
            <w:r>
              <w:t xml:space="preserve"> </w:t>
            </w:r>
            <w:r>
              <w:t xml:space="preserve">Integer</w:t>
            </w:r>
          </w:p>
        </w:tc>
        <w:tc>
          <w:tcPr/>
          <w:p>
            <w:pPr>
              <w:pStyle w:val="Compact"/>
            </w:pPr>
            <w:r>
              <w:t xml:space="preserve">Position entière du point dans le déroulement de la séance, déterminante pour le tri et l’affichage.</w:t>
            </w:r>
            <w:r>
              <w:t xml:space="preserve"> </w:t>
            </w:r>
            <w:r>
              <w:t xml:space="preserve">Héritage : IsAgendaItem</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département responsable du point de l’ordre du jour.</w:t>
            </w:r>
            <w:r>
              <w:t xml:space="preserve"> </w:t>
            </w:r>
            <w:r>
              <w:t xml:space="preserve">Héritage : IsAgendaItem</w:t>
            </w:r>
          </w:p>
        </w:tc>
      </w:tr>
      <w:tr>
        <w:tc>
          <w:tcPr/>
          <w:p>
            <w:pPr>
              <w:pStyle w:val="Compact"/>
            </w:pPr>
            <w:r>
              <w:t xml:space="preserve">speaking_actor_id</w:t>
            </w:r>
          </w:p>
        </w:tc>
        <w:tc>
          <w:tcPr/>
          <w:p>
            <w:pPr>
              <w:pStyle w:val="Compact"/>
            </w:pPr>
            <w:r>
              <w:t xml:space="preserve">0..1</w:t>
            </w:r>
            <w:r>
              <w:t xml:space="preserve"> </w:t>
            </w:r>
            <w:r>
              <w:t xml:space="preserve"> </w:t>
            </w:r>
            <w:r>
              <w:t xml:space="preserve">String</w:t>
            </w:r>
          </w:p>
        </w:tc>
        <w:tc>
          <w:tcPr/>
          <w:p>
            <w:pPr>
              <w:pStyle w:val="Compact"/>
            </w:pPr>
            <w:r>
              <w:t xml:space="preserve">La ou le porte-parole ou la cheffe ou le chef du département pour le point de l’ordre du jour.</w:t>
            </w:r>
            <w:r>
              <w:t xml:space="preserve"> </w:t>
            </w:r>
            <w:r>
              <w:t xml:space="preserve">Héritage : IsAgendaItem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Titre du point de l’ordre du jour.</w:t>
            </w:r>
            <w:r>
              <w:t xml:space="preserve"> </w:t>
            </w:r>
            <w:r>
              <w:t xml:space="preserve">Héritage : IsAgendaItem</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Identifiant de l’affaire (eCH-0295) à laquelle se rapporte l’enregistrement. Les points administratifs (p. ex. approbation du procès-verbal) n’ont pas d’affaire. Une affaire passe en règle générale par plusieurs points de l’ordre du jour — dans la législation, par exemple, le débat d’entrée en matière, la discussion par article, le vote final et, le cas échéant, la procédure d’élimination des divergences entre les conseils.</w:t>
            </w:r>
            <w:r>
              <w:t xml:space="preserve"> </w:t>
            </w:r>
            <w:r>
              <w:t xml:space="preserve">Héritage : IsAgendaItem</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Sous-titre ou description détaillée du point de l’ordre du jour.</w:t>
            </w:r>
            <w:r>
              <w:t xml:space="preserve"> </w:t>
            </w:r>
            <w:r>
              <w:t xml:space="preserve">Héritage : IsAgendaItem</w:t>
            </w:r>
          </w:p>
        </w:tc>
      </w:tr>
      <w:tr>
        <w:tc>
          <w:tcPr/>
          <w:p>
            <w:pPr>
              <w:pStyle w:val="Compact"/>
            </w:pPr>
            <w:r>
              <w:t xml:space="preserve">state_id</w:t>
            </w:r>
          </w:p>
        </w:tc>
        <w:tc>
          <w:tcPr/>
          <w:p>
            <w:pPr>
              <w:pStyle w:val="Compact"/>
            </w:pPr>
            <w:r>
              <w:t xml:space="preserve">0..1</w:t>
            </w:r>
            <w:r>
              <w:t xml:space="preserve"> </w:t>
            </w:r>
            <w:r>
              <w:t xml:space="preserve"> </w:t>
            </w:r>
            <w:r>
              <w:t xml:space="preserve">String</w:t>
            </w:r>
          </w:p>
        </w:tc>
        <w:tc>
          <w:tcPr/>
          <w:p>
            <w:pPr>
              <w:pStyle w:val="Compact"/>
            </w:pPr>
            <w:r>
              <w:t xml:space="preserve">Identifiant d’état du point (renvoi à une énumération des états ou à un état propre), p. ex. pending (pas encore traité), in_progress (en délibération), completed (traité), postponed (renvoyé à une séance ultérieure) ou withdrawn (retiré).</w:t>
            </w:r>
            <w:r>
              <w:t xml:space="preserve"> </w:t>
            </w:r>
            <w:r>
              <w:t xml:space="preserve">Héritage : IsAgendaItem</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de statut divergente, en texte libre, là où l’énumération des statuts ne suffit pas.</w:t>
            </w:r>
            <w:r>
              <w:t xml:space="preserve"> </w:t>
            </w:r>
            <w:r>
              <w:t xml:space="preserve">Héritage : IsAgendaItem</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r>
              <w:t xml:space="preserve"> </w:t>
            </w:r>
            <w:r>
              <w:t xml:space="preserve">Héritage : IsAgendaItem</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r>
              <w:t xml:space="preserve"> </w:t>
            </w:r>
            <w:r>
              <w:t xml:space="preserve">Héritage : IsAgendaItem</w:t>
            </w:r>
          </w:p>
        </w:tc>
      </w:tr>
      <w:tr>
        <w:tc>
          <w:tcPr/>
          <w:p>
            <w:pPr>
              <w:pStyle w:val="Compact"/>
            </w:pPr>
            <w:r>
              <w:t xml:space="preserve">agenda_item_category</w:t>
            </w:r>
          </w:p>
        </w:tc>
        <w:tc>
          <w:tcPr/>
          <w:p>
            <w:pPr>
              <w:pStyle w:val="Compact"/>
            </w:pPr>
            <w:r>
              <w:t xml:space="preserve">0..1</w:t>
            </w:r>
            <w:r>
              <w:t xml:space="preserve"> </w:t>
            </w:r>
            <w:r>
              <w:t xml:space="preserve"> </w:t>
            </w:r>
            <w:r>
              <w:t xml:space="preserve">String</w:t>
            </w:r>
          </w:p>
        </w:tc>
        <w:tc>
          <w:tcPr/>
          <w:p>
            <w:pPr>
              <w:pStyle w:val="Compact"/>
            </w:pPr>
            <w:r>
              <w:t xml:space="preserve">Catégorisation libre du point selon son contenu ou son regroupement, p. ex. « Législation », « Budget et finances », « Interpellations et questions », « Élections », par département, ou points introductifs et techniques. La catégorisation n’est pas standardisée et peut varier selon l’unité fédérale.</w:t>
            </w:r>
            <w:r>
              <w:t xml:space="preserve"> </w:t>
            </w:r>
            <w:r>
              <w:t xml:space="preserve">Héritage : IsAgendaItem</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du point de l’ordre du jour auquel cet enregistrement se rattache. Pour un point de l’ordre du jour, il forme une hiérarchie de points — p. ex. un groupe « Délibérations législatives » avec les sous-points « Loi sur l’énergie (discussion par article) » et « Loi sur l’énergie (vote final) » ; pour une intervention, il désigne le point sous lequel elle a été faite.</w:t>
            </w:r>
            <w:r>
              <w:t xml:space="preserve"> </w:t>
            </w:r>
            <w:r>
              <w:t xml:space="preserve">Héritage : IsAgendaItem</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La décision formelle prise sur ce point de l’ordre du jour, p. ex. l’adoption de la loi sur l’énergie. Le vote sous-jacent avec son rapport de voix est saisi séparément comme Voting.</w:t>
            </w:r>
            <w:r>
              <w:t xml:space="preserve"> </w:t>
            </w:r>
            <w:r>
              <w:t xml:space="preserve">Héritage : IsAgendaItem</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Délibérations communes rattachées à cet enregistrement : pour un point de l’ordre du jour, les délibérations dans lesquelles il est traité conjointement avec d’autres points ; pour une séance ou une session, les délibérations communes qui s’y tiennent.</w:t>
            </w:r>
            <w:r>
              <w:t xml:space="preserve"> </w:t>
            </w:r>
            <w:r>
              <w:t xml:space="preserve">Héritage :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r>
              <w:t xml:space="preserve"> </w:t>
            </w:r>
            <w:r>
              <w:t xml:space="preserve">Héritage :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Documents relatifs au point de l’ordre du jour, sous forme de FRBR Works, p. ex. messages et rapports, propositions et propositions d’amendement.</w:t>
            </w:r>
            <w:r>
              <w:t xml:space="preserve"> </w:t>
            </w:r>
            <w:r>
              <w:t xml:space="preserve">Héritage : IsAgendaItem</w:t>
            </w:r>
          </w:p>
        </w:tc>
      </w:tr>
    </w:tbl>
    <w:bookmarkEnd w:id="91"/>
    <w:bookmarkStart w:id="92" w:name="utilisations-3"/>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Meeting">
              <w:r>
                <w:rPr>
                  <w:rStyle w:val="Hyperlink"/>
                </w:rPr>
                <w:t xml:space="preserve">Meeting</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92"/>
    <w:bookmarkStart w:id="110" w:name="exemples-4"/>
    <w:p>
      <w:pPr>
        <w:pStyle w:val="berschrift4"/>
      </w:pPr>
      <w:r>
        <w:t xml:space="preserve">Exemples</w:t>
      </w:r>
    </w:p>
    <w:bookmarkStart w:id="93" w:name="Xbdc5475aaf0ef15645faa104ed4d77c6ecd63a4"/>
    <w:p>
      <w:pPr>
        <w:pStyle w:val="berschrift5"/>
      </w:pPr>
      <w:r>
        <w:t xml:space="preserve">Exemple AgendaItem : Point de l’ordre du jour en français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93"/>
    <w:bookmarkStart w:id="94" w:name="X58d69f7f18cab41a56ee8ed384eaed317dcf493"/>
    <w:p>
      <w:pPr>
        <w:pStyle w:val="berschrift5"/>
      </w:pPr>
      <w:r>
        <w:t xml:space="preserve">Exemple AgendaItem :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94"/>
    <w:bookmarkStart w:id="95" w:name="X280ed48f11de8e1dade20cecdfb92559ea3f285"/>
    <w:p>
      <w:pPr>
        <w:pStyle w:val="berschrift5"/>
      </w:pPr>
      <w:r>
        <w:t xml:space="preserve">Exemple AgendaItem : session session gl landsgemeinde 2025 05 04 agenda item gl landsgemeinde 2025 01</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5"/>
    <w:bookmarkStart w:id="96" w:name="Xa1d7eb650715ca41903fe2aa5444ba01b1ed9c3"/>
    <w:p>
      <w:pPr>
        <w:pStyle w:val="berschrift5"/>
      </w:pPr>
      <w:r>
        <w:t xml:space="preserve">Exemple AgendaItem :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96"/>
    <w:bookmarkStart w:id="97" w:name="X2bca9089bd16637dc2b42ff33524c54f325c34e"/>
    <w:p>
      <w:pPr>
        <w:pStyle w:val="berschrift5"/>
      </w:pPr>
      <w:r>
        <w:t xml:space="preserve">Exemple AgendaItem :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97"/>
    <w:bookmarkStart w:id="98" w:name="X526bb264842b1801da261cd46ccbdc2c897547c"/>
    <w:p>
      <w:pPr>
        <w:pStyle w:val="berschrift5"/>
      </w:pPr>
      <w:r>
        <w:t xml:space="preserve">Exemple AgendaItem :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98"/>
    <w:bookmarkStart w:id="99" w:name="Xcf605d7ffea2969077f3d7fe33901a3f9e1ab52"/>
    <w:p>
      <w:pPr>
        <w:pStyle w:val="berschrift5"/>
      </w:pPr>
      <w:r>
        <w:t xml:space="preserve">Exemple AgendaItem :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99"/>
    <w:bookmarkStart w:id="100" w:name="Xf0e95666004bd6756902e606253da34ce9060e4"/>
    <w:p>
      <w:pPr>
        <w:pStyle w:val="berschrift5"/>
      </w:pPr>
      <w:r>
        <w:t xml:space="preserve">Exemple AgendaItem :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00"/>
    <w:bookmarkStart w:id="101" w:name="X5dc24777680b09896656a11f27bcabb19a96eb3"/>
    <w:p>
      <w:pPr>
        <w:pStyle w:val="berschrift5"/>
      </w:pPr>
      <w:r>
        <w:t xml:space="preserve">Exemple AgendaItem :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01"/>
    <w:bookmarkStart w:id="102" w:name="X65d2de5d4b9d56610f0a4400e91f8e1cd3f71e5"/>
    <w:p>
      <w:pPr>
        <w:pStyle w:val="berschrift5"/>
      </w:pPr>
      <w:r>
        <w:t xml:space="preserve">Exemple AgendaItem :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02"/>
    <w:bookmarkStart w:id="103" w:name="X31dd3d9310754686415d7cbf162e788d39792e7"/>
    <w:p>
      <w:pPr>
        <w:pStyle w:val="berschrift5"/>
      </w:pPr>
      <w:r>
        <w:t xml:space="preserve">Exemple AgendaItem :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03"/>
    <w:bookmarkStart w:id="104" w:name="X9437477ea664c48f940205d15b9b8c031c636f1"/>
    <w:p>
      <w:pPr>
        <w:pStyle w:val="berschrift5"/>
      </w:pPr>
      <w:r>
        <w:t xml:space="preserve">Exemple AgendaItem :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04"/>
    <w:bookmarkStart w:id="105" w:name="exemple-agendaitem-budget-agenda-item"/>
    <w:p>
      <w:pPr>
        <w:pStyle w:val="berschrift5"/>
      </w:pPr>
      <w:r>
        <w:t xml:space="preserve">Exemple AgendaItem :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05"/>
    <w:bookmarkStart w:id="106" w:name="X4ebf5d1a76ea13087b3c7ad8bcc4ccb7c57229f"/>
    <w:p>
      <w:pPr>
        <w:pStyle w:val="berschrift5"/>
      </w:pPr>
      <w:r>
        <w:t xml:space="preserve">Exemple AgendaItem :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06"/>
    <w:bookmarkStart w:id="107" w:name="X49cdd74bd662d16f8d0886d91a7f7db36bc09de"/>
    <w:p>
      <w:pPr>
        <w:pStyle w:val="berschrift5"/>
      </w:pPr>
      <w:r>
        <w:t xml:space="preserve">Exemple AgendaItem :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07"/>
    <w:bookmarkStart w:id="108" w:name="Xfb677c58adb96b672efdc396147ecb17a986ba1"/>
    <w:p>
      <w:pPr>
        <w:pStyle w:val="berschrift5"/>
      </w:pPr>
      <w:r>
        <w:t xml:space="preserve">Exemple AgendaItem :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08"/>
    <w:bookmarkStart w:id="109" w:name="Xecb6d1f327c64748bb48ef26a9d88f8fb7415b2"/>
    <w:p>
      <w:pPr>
        <w:pStyle w:val="berschrift5"/>
      </w:pPr>
      <w:r>
        <w:t xml:space="preserve">Exemple AgendaItem :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09"/>
    <w:bookmarkEnd w:id="110"/>
    <w:bookmarkEnd w:id="111"/>
    <w:bookmarkStart w:id="117" w:name="enum-agendaitemtypeenum"/>
    <w:p>
      <w:pPr>
        <w:pStyle w:val="berschrift3"/>
      </w:pPr>
      <w:r>
        <w:t xml:space="preserve">Enum: AgendaItemTypeEnum</w:t>
      </w:r>
      <w:r>
        <w:t xml:space="preserve"> </w:t>
      </w:r>
      <w:bookmarkStart w:id="112" w:name="AgendaItemTypeEnum"/>
      <w:bookmarkEnd w:id="112"/>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13">
        <w:r>
          <w:rPr>
            <w:rStyle w:val="Hyperlink"/>
          </w:rPr>
          <w:t xml:space="preserve">ops:AgendaItemTypeEnum</w:t>
        </w:r>
      </w:hyperlink>
    </w:p>
    <w:bookmarkStart w:id="116" w:name="valeurs-admissibles-1"/>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individuel de l’ordre du jour, avec délibération et, le cas échéant, vote.</w:t>
            </w:r>
          </w:p>
        </w:tc>
      </w:tr>
      <w:tr>
        <w:tc>
          <w:tcPr/>
          <w:p>
            <w:pPr>
              <w:pStyle w:val="Compact"/>
            </w:pPr>
          </w:p>
        </w:tc>
        <w:tc>
          <w:tcPr/>
          <w:p>
            <w:pPr>
              <w:pStyle w:val="Compact"/>
            </w:pPr>
            <w:hyperlink ns1:id="rId114">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(groupe de points de l’ordre du jour) sous lequel des sous-points sont rangés au moyen de parent_agenda_item, p. ex. « Délibérations législatives ».</w:t>
            </w:r>
          </w:p>
        </w:tc>
      </w:tr>
      <w:tr>
        <w:tc>
          <w:tcPr/>
          <w:p>
            <w:pPr>
              <w:pStyle w:val="Compact"/>
            </w:pPr>
          </w:p>
        </w:tc>
        <w:tc>
          <w:tcPr/>
          <w:p>
            <w:pPr>
              <w:pStyle w:val="Compact"/>
            </w:pPr>
            <w:hyperlink ns1:id="rId115">
              <w:r>
                <w:rPr>
                  <w:rStyle w:val="Hyperlink"/>
                </w:rPr>
                <w:t xml:space="preserve">ops:enum/agenda_item_type/group</w:t>
              </w:r>
            </w:hyperlink>
          </w:p>
        </w:tc>
      </w:tr>
    </w:tbl>
    <w:bookmarkEnd w:id="116"/>
    <w:bookmarkEnd w:id="117"/>
    <w:bookmarkEnd w:id="118"/>
    <w:bookmarkStart w:id="130" w:name="procès-verbal-protocol"/>
    <w:p>
      <w:pPr>
        <w:pStyle w:val="berschrift2"/>
      </w:pPr>
      <w:r>
        <w:t xml:space="preserve">Procès-verbal (Protocol)</w:t>
      </w:r>
    </w:p>
    <w:p>
      <w:pPr>
        <w:pStyle w:val="FirstParagraph"/>
      </w:pPr>
      <w:r>
        <w:t xml:space="preserve">Le procès-verbal est</w:t>
      </w:r>
      <w:r>
        <w:t xml:space="preserve"> </w:t>
      </w:r>
      <w:r>
        <w:rPr>
          <w:b/>
          <w:bCs/>
        </w:rPr>
        <w:t xml:space="preserve">référencé et non imbriqué</w:t>
      </w:r>
      <w:r>
        <w:t xml:space="preserve">. La règle appliquée de bout en bout par la présente norme vaut donc ici aussi : est imbriqué ce qui ne possède pas d’identité propre (par exemple</w:t>
      </w:r>
      <w:r>
        <w:t xml:space="preserve"> </w:t>
      </w:r>
      <w:r>
        <w:rPr>
          <w:rStyle w:val="VerbatimChar"/>
        </w:rPr>
        <w:t xml:space="preserve">PersonReference</w:t>
      </w:r>
      <w:r>
        <w:t xml:space="preserve"> </w:t>
      </w:r>
      <w:r>
        <w:t xml:space="preserve">ou</w:t>
      </w:r>
      <w:r>
        <w:t xml:space="preserve"> </w:t>
      </w:r>
      <w:r>
        <w:rPr>
          <w:rStyle w:val="VerbatimChar"/>
        </w:rPr>
        <w:t xml:space="preserve">GroupReference</w:t>
      </w:r>
      <w:r>
        <w:t xml:space="preserve">), est référencé ce qui en possède une.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agenda_items → AgendaItem  (avant : points planifiés)</w:t>
      </w:r>
      <w:r>
        <w:br/>
      </w:r>
      <w:r>
        <w:rPr>
          <w:rStyle w:val="VerbatimChar"/>
        </w:rPr>
        <w:t xml:space="preserve">  │                     └─ has_protocol → identifiant du procès-verbal</w:t>
      </w:r>
      <w:r>
        <w:br/>
      </w:r>
      <w:r>
        <w:rPr>
          <w:rStyle w:val="VerbatimChar"/>
        </w:rPr>
        <w:t xml:space="preserve">  └─ protocols      → Protocol    (après : consignation, parent_meeting)</w:t>
      </w:r>
      <w:r>
        <w:br/>
      </w:r>
      <w:r>
        <w:rPr>
          <w:rStyle w:val="VerbatimChar"/>
        </w:rPr>
        <w:t xml:space="preserve">                        ├─ protocol_items  → ProtocolItem (mêmes éléments qu'AgendaItem)</w:t>
      </w:r>
      <w:r>
        <w:br/>
      </w:r>
      <w:r>
        <w:rPr>
          <w:rStyle w:val="VerbatimChar"/>
        </w:rPr>
        <w:t xml:space="preserve">                        ├─ votings</w:t>
      </w:r>
      <w:r>
        <w:br/>
      </w:r>
      <w:r>
        <w:rPr>
          <w:rStyle w:val="VerbatimChar"/>
        </w:rPr>
        <w:t xml:space="preserve">                        ├─ elections</w:t>
      </w:r>
      <w:r>
        <w:br/>
      </w:r>
      <w:r>
        <w:rPr>
          <w:rStyle w:val="VerbatimChar"/>
        </w:rPr>
        <w:t xml:space="preserve">                        ├─ speeches</w:t>
      </w:r>
      <w:r>
        <w:br/>
      </w:r>
      <w:r>
        <w:rPr>
          <w:rStyle w:val="VerbatimChar"/>
        </w:rPr>
        <w:t xml:space="preserve">                        ├─ text_segments</w:t>
      </w:r>
      <w:r>
        <w:br/>
      </w:r>
      <w:r>
        <w:rPr>
          <w:rStyle w:val="VerbatimChar"/>
        </w:rPr>
        <w:t xml:space="preserve">                        └─ documents</w:t>
      </w:r>
    </w:p>
    <w:bookmarkStart w:id="124" w:name="classe-protocol"/>
    <w:p>
      <w:pPr>
        <w:pStyle w:val="berschrift3"/>
      </w:pPr>
      <w:r>
        <w:t xml:space="preserve">Classe: Protocol</w:t>
      </w:r>
      <w:r>
        <w:t xml:space="preserve"> </w:t>
      </w:r>
      <w:bookmarkStart w:id="119" w:name="Protocol"/>
      <w:bookmarkEnd w:id="119"/>
    </w:p>
    <w:p>
      <w:pPr>
        <w:pStyle w:val="FirstParagraph"/>
      </w:pPr>
      <w:r>
        <w:rPr>
          <w:i/>
          <w:iCs/>
        </w:rPr>
        <w:t xml:space="preserve">Le procès-verbal d’une séance, établi après celle-ci et tenu exactement une fois par séance. Un conteneur qui regroupe les points effectivement traités (protocol_items), les votes, les élections, les interventions, les segments de texte in extenso et les documents liés. Le procès-verbal possède son propre identifiant, peut être cité de manière autonome et est en règle générale publié après la séance ; la séance ne fait donc que le référencer (Meeting.has_protocol), et le procès-verbal lui-même est livré dans Container.protocols, de sorte qu’il puisse être livré ultérieurement sans relivrer la séance. À l’intérieur du procès-verbal, les collections sont imbriquées, car elles naissent et sont livrées avec lui. Qui publie des votes ou des interventions indépendamment du procès-verbal les livre à plat dans Container.votings ou Container.speeches et les relie par parent_meeting et la référence au point de l’ordre du jour correspondante.</w:t>
      </w:r>
    </w:p>
    <w:bookmarkStart w:id="120" w:name="attributs-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vote, une élection, une intervention, une liste de présence ou un procès-verbal, la séance au cours de laquelle l’enregistrement est né. Les points de l’ordre du jour ne le portent pas : ils sont imbriqués dans leur séance.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Ensemble des élections.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Ensemble de segments de texte (p. ex. procès-verbal in extenso).</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20"/>
    <w:bookmarkStart w:id="121" w:name="utilisations-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21"/>
    <w:bookmarkStart w:id="123" w:name="exemples-5"/>
    <w:p>
      <w:pPr>
        <w:pStyle w:val="berschrift4"/>
      </w:pPr>
      <w:r>
        <w:t xml:space="preserve">Exemples</w:t>
      </w:r>
    </w:p>
    <w:bookmarkStart w:id="122" w:name="Xe58a0b7494aa61ff0d452740b3d33831378941a"/>
    <w:p>
      <w:pPr>
        <w:pStyle w:val="berschrift5"/>
      </w:pPr>
      <w:r>
        <w:t xml:space="preserve">Exemple Protocol : Procès-verbal comme entité à part entière, référencé par la séance</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2"/>
    <w:bookmarkEnd w:id="123"/>
    <w:bookmarkEnd w:id="124"/>
    <w:bookmarkStart w:id="125" w:name="Xeab270e3dbf47b3d038db3a9f5c6de460d9186b"/>
    <w:p>
      <w:pPr>
        <w:pStyle w:val="berschrift3"/>
      </w:pPr>
      <w:r>
        <w:t xml:space="preserve">ProtocolItem (point consigné au procès-verbal)</w:t>
      </w:r>
    </w:p>
    <w:bookmarkEnd w:id="125"/>
    <w:bookmarkStart w:id="129" w:name="classe-protocolitem"/>
    <w:p>
      <w:pPr>
        <w:pStyle w:val="berschrift3"/>
      </w:pPr>
      <w:r>
        <w:t xml:space="preserve">Classe: ProtocolItem</w:t>
      </w:r>
      <w:r>
        <w:t xml:space="preserve"> </w:t>
      </w:r>
      <w:bookmarkStart w:id="126" w:name="ProtocolItem"/>
      <w:bookmarkEnd w:id="126"/>
    </w:p>
    <w:p>
      <w:pPr>
        <w:pStyle w:val="FirstParagraph"/>
      </w:pPr>
      <w:r>
        <w:rPr>
          <w:i/>
          <w:iCs/>
        </w:rPr>
        <w:t xml:space="preserve">Un point de l’ordre du jour tel qu’il a effectivement été consigné au procès-verbal. Il porte les mêmes éléments qu’AgendaItem par le mixin IsAgendaItem, mais constitue une classe à part entière : le point consigné n’est pas un cas particulier du point planifié. Il naît indépendamment et peut comprendre des points jamais mis à l’ordre du jour, de même que l’ordre du jour peut comprendre des points jamais traités.</w:t>
      </w:r>
    </w:p>
    <w:bookmarkStart w:id="127" w:name="attributs-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de point de l’ordre du jour, distinguant les points isolés des groupes de points.</w:t>
            </w:r>
            <w:r>
              <w:t xml:space="preserve"> </w:t>
            </w:r>
            <w:r>
              <w:t xml:space="preserve">Héritage : IsAgendaItem</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du point sur l’ordre du jour, p. ex. « 2.1 » ou « 3 » (chaîne de caractères, afin de permettre aussi les chiffres romains).</w:t>
            </w:r>
            <w:r>
              <w:t xml:space="preserve"> </w:t>
            </w:r>
            <w:r>
              <w:t xml:space="preserve">Héritage : IsAgendaItem</w:t>
            </w:r>
          </w:p>
        </w:tc>
      </w:tr>
      <w:tr>
        <w:tc>
          <w:tcPr/>
          <w:p>
            <w:pPr>
              <w:pStyle w:val="Compact"/>
            </w:pPr>
            <w:r>
              <w:t xml:space="preserve">agenda_item_position</w:t>
            </w:r>
          </w:p>
        </w:tc>
        <w:tc>
          <w:tcPr/>
          <w:p>
            <w:pPr>
              <w:pStyle w:val="Compact"/>
            </w:pPr>
            <w:r>
              <w:t xml:space="preserve">0..1</w:t>
            </w:r>
            <w:r>
              <w:t xml:space="preserve"> </w:t>
            </w:r>
            <w:r>
              <w:t xml:space="preserve"> </w:t>
            </w:r>
            <w:r>
              <w:t xml:space="preserve">Integer</w:t>
            </w:r>
          </w:p>
        </w:tc>
        <w:tc>
          <w:tcPr/>
          <w:p>
            <w:pPr>
              <w:pStyle w:val="Compact"/>
            </w:pPr>
            <w:r>
              <w:t xml:space="preserve">Position entière du point dans le déroulement de la séance, déterminante pour le tri et l’affichage.</w:t>
            </w:r>
            <w:r>
              <w:t xml:space="preserve"> </w:t>
            </w:r>
            <w:r>
              <w:t xml:space="preserve">Héritage : IsAgendaItem</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département responsable du point de l’ordre du jour.</w:t>
            </w:r>
            <w:r>
              <w:t xml:space="preserve"> </w:t>
            </w:r>
            <w:r>
              <w:t xml:space="preserve">Héritage : IsAgendaItem</w:t>
            </w:r>
          </w:p>
        </w:tc>
      </w:tr>
      <w:tr>
        <w:tc>
          <w:tcPr/>
          <w:p>
            <w:pPr>
              <w:pStyle w:val="Compact"/>
            </w:pPr>
            <w:r>
              <w:t xml:space="preserve">speaking_actor_id</w:t>
            </w:r>
          </w:p>
        </w:tc>
        <w:tc>
          <w:tcPr/>
          <w:p>
            <w:pPr>
              <w:pStyle w:val="Compact"/>
            </w:pPr>
            <w:r>
              <w:t xml:space="preserve">0..1</w:t>
            </w:r>
            <w:r>
              <w:t xml:space="preserve"> </w:t>
            </w:r>
            <w:r>
              <w:t xml:space="preserve"> </w:t>
            </w:r>
            <w:r>
              <w:t xml:space="preserve">String</w:t>
            </w:r>
          </w:p>
        </w:tc>
        <w:tc>
          <w:tcPr/>
          <w:p>
            <w:pPr>
              <w:pStyle w:val="Compact"/>
            </w:pPr>
            <w:r>
              <w:t xml:space="preserve">La ou le porte-parole ou la cheffe ou le chef du département pour le point de l’ordre du jour.</w:t>
            </w:r>
            <w:r>
              <w:t xml:space="preserve"> </w:t>
            </w:r>
            <w:r>
              <w:t xml:space="preserve">Héritage : IsAgendaItem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Titre du point de l’ordre du jour.</w:t>
            </w:r>
            <w:r>
              <w:t xml:space="preserve"> </w:t>
            </w:r>
            <w:r>
              <w:t xml:space="preserve">Héritage : IsAgendaItem</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Identifiant de l’affaire (eCH-0295) à laquelle se rapporte l’enregistrement. Les points administratifs (p. ex. approbation du procès-verbal) n’ont pas d’affaire. Une affaire passe en règle générale par plusieurs points de l’ordre du jour — dans la législation, par exemple, le débat d’entrée en matière, la discussion par article, le vote final et, le cas échéant, la procédure d’élimination des divergences entre les conseils.</w:t>
            </w:r>
            <w:r>
              <w:t xml:space="preserve"> </w:t>
            </w:r>
            <w:r>
              <w:t xml:space="preserve">Héritage : IsAgendaItem</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Sous-titre ou description détaillée du point de l’ordre du jour.</w:t>
            </w:r>
            <w:r>
              <w:t xml:space="preserve"> </w:t>
            </w:r>
            <w:r>
              <w:t xml:space="preserve">Héritage : IsAgendaItem</w:t>
            </w:r>
          </w:p>
        </w:tc>
      </w:tr>
      <w:tr>
        <w:tc>
          <w:tcPr/>
          <w:p>
            <w:pPr>
              <w:pStyle w:val="Compact"/>
            </w:pPr>
            <w:r>
              <w:t xml:space="preserve">state_id</w:t>
            </w:r>
          </w:p>
        </w:tc>
        <w:tc>
          <w:tcPr/>
          <w:p>
            <w:pPr>
              <w:pStyle w:val="Compact"/>
            </w:pPr>
            <w:r>
              <w:t xml:space="preserve">0..1</w:t>
            </w:r>
            <w:r>
              <w:t xml:space="preserve"> </w:t>
            </w:r>
            <w:r>
              <w:t xml:space="preserve"> </w:t>
            </w:r>
            <w:r>
              <w:t xml:space="preserve">String</w:t>
            </w:r>
          </w:p>
        </w:tc>
        <w:tc>
          <w:tcPr/>
          <w:p>
            <w:pPr>
              <w:pStyle w:val="Compact"/>
            </w:pPr>
            <w:r>
              <w:t xml:space="preserve">Identifiant d’état du point (renvoi à une énumération des états ou à un état propre), p. ex. pending (pas encore traité), in_progress (en délibération), completed (traité), postponed (renvoyé à une séance ultérieure) ou withdrawn (retiré).</w:t>
            </w:r>
            <w:r>
              <w:t xml:space="preserve"> </w:t>
            </w:r>
            <w:r>
              <w:t xml:space="preserve">Héritage : IsAgendaItem</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de statut divergente, en texte libre, là où l’énumération des statuts ne suffit pas.</w:t>
            </w:r>
            <w:r>
              <w:t xml:space="preserve"> </w:t>
            </w:r>
            <w:r>
              <w:t xml:space="preserve">Héritage : IsAgendaItem</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r>
              <w:t xml:space="preserve"> </w:t>
            </w:r>
            <w:r>
              <w:t xml:space="preserve">Héritage : IsAgendaItem</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r>
              <w:t xml:space="preserve"> </w:t>
            </w:r>
            <w:r>
              <w:t xml:space="preserve">Héritage : IsAgendaItem</w:t>
            </w:r>
          </w:p>
        </w:tc>
      </w:tr>
      <w:tr>
        <w:tc>
          <w:tcPr/>
          <w:p>
            <w:pPr>
              <w:pStyle w:val="Compact"/>
            </w:pPr>
            <w:r>
              <w:t xml:space="preserve">agenda_item_category</w:t>
            </w:r>
          </w:p>
        </w:tc>
        <w:tc>
          <w:tcPr/>
          <w:p>
            <w:pPr>
              <w:pStyle w:val="Compact"/>
            </w:pPr>
            <w:r>
              <w:t xml:space="preserve">0..1</w:t>
            </w:r>
            <w:r>
              <w:t xml:space="preserve"> </w:t>
            </w:r>
            <w:r>
              <w:t xml:space="preserve"> </w:t>
            </w:r>
            <w:r>
              <w:t xml:space="preserve">String</w:t>
            </w:r>
          </w:p>
        </w:tc>
        <w:tc>
          <w:tcPr/>
          <w:p>
            <w:pPr>
              <w:pStyle w:val="Compact"/>
            </w:pPr>
            <w:r>
              <w:t xml:space="preserve">Catégorisation libre du point selon son contenu ou son regroupement, p. ex. « Législation », « Budget et finances », « Interpellations et questions », « Élections », par département, ou points introductifs et techniques. La catégorisation n’est pas standardisée et peut varier selon l’unité fédérale.</w:t>
            </w:r>
            <w:r>
              <w:t xml:space="preserve"> </w:t>
            </w:r>
            <w:r>
              <w:t xml:space="preserve">Héritage : IsAgendaItem</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du point de l’ordre du jour auquel cet enregistrement se rattache. Pour un point de l’ordre du jour, il forme une hiérarchie de points — p. ex. un groupe « Délibérations législatives » avec les sous-points « Loi sur l’énergie (discussion par article) » et « Loi sur l’énergie (vote final) » ; pour une intervention, il désigne le point sous lequel elle a été faite.</w:t>
            </w:r>
            <w:r>
              <w:t xml:space="preserve"> </w:t>
            </w:r>
            <w:r>
              <w:t xml:space="preserve">Héritage : IsAgendaItem</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La décision formelle prise sur ce point de l’ordre du jour, p. ex. l’adoption de la loi sur l’énergie. Le vote sous-jacent avec son rapport de voix est saisi séparément comme Voting.</w:t>
            </w:r>
            <w:r>
              <w:t xml:space="preserve"> </w:t>
            </w:r>
            <w:r>
              <w:t xml:space="preserve">Héritage : IsAgendaItem</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Délibérations communes rattachées à cet enregistrement : pour un point de l’ordre du jour, les délibérations dans lesquelles il est traité conjointement avec d’autres points ; pour une séance ou une session, les délibérations communes qui s’y tiennent.</w:t>
            </w:r>
            <w:r>
              <w:t xml:space="preserve"> </w:t>
            </w:r>
            <w:r>
              <w:t xml:space="preserve">Héritage :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r>
              <w:t xml:space="preserve"> </w:t>
            </w:r>
            <w:r>
              <w:t xml:space="preserve">Héritage :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Documents relatifs au point de l’ordre du jour, sous forme de FRBR Works, p. ex. messages et rapports, propositions et propositions d’amendement.</w:t>
            </w:r>
            <w:r>
              <w:t xml:space="preserve"> </w:t>
            </w:r>
            <w:r>
              <w:t xml:space="preserve">Héritage : IsAgendaItem</w:t>
            </w:r>
          </w:p>
        </w:tc>
      </w:tr>
    </w:tbl>
    <w:bookmarkEnd w:id="127"/>
    <w:bookmarkStart w:id="128" w:name="utilisations-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28"/>
    <w:bookmarkEnd w:id="129"/>
    <w:bookmarkEnd w:id="130"/>
    <w:bookmarkStart w:id="135" w:name="délibération-commune-jointdebate"/>
    <w:p>
      <w:pPr>
        <w:pStyle w:val="berschrift2"/>
      </w:pPr>
      <w:r>
        <w:t xml:space="preserve">Délibération commune (JointDebate)</w:t>
      </w:r>
    </w:p>
    <w:bookmarkStart w:id="134" w:name="classe-jointdebate"/>
    <w:p>
      <w:pPr>
        <w:pStyle w:val="berschrift3"/>
      </w:pPr>
      <w:r>
        <w:t xml:space="preserve">Classe: JointDebate</w:t>
      </w:r>
      <w:r>
        <w:t xml:space="preserve"> </w:t>
      </w:r>
      <w:bookmarkStart w:id="131" w:name="JointDebate"/>
      <w:bookmarkEnd w:id="131"/>
    </w:p>
    <w:p>
      <w:pPr>
        <w:pStyle w:val="FirstParagraph"/>
      </w:pPr>
      <w:r>
        <w:rPr>
          <w:i/>
          <w:iCs/>
        </w:rPr>
        <w:t xml:space="preserve">Une délibération commune : plusieurs points de l’ordre du jour sont traités ensemble, par exemple des affaires connexes délibérées dans un seul et même débat. La délibération commune est rattachée à un point de l’ordre du jour (AgendaItem), à un point du procès-verbal (ProtocolItem), à une séance (Meeting) ou à une session (Session) et renvoie, par leurs identifiants, aux points traités conjointement. Rattachée à une séance ou à une session, elle peut aussi réunir des points répartis sur plusieurs positions de l’ordre du jour ou sur plusieurs séances.</w:t>
      </w:r>
    </w:p>
    <w:bookmarkStart w:id="132" w:name="attributs-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joint_agenda_item_ids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Identifiants des points de l’ordre du jour traités conjointement (AgendaItem ou ProtocolItem).</w:t>
            </w:r>
          </w:p>
        </w:tc>
      </w:tr>
    </w:tbl>
    <w:bookmarkEnd w:id="132"/>
    <w:bookmarkStart w:id="133" w:name="utilisations-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Meeting">
              <w:r>
                <w:rPr>
                  <w:rStyle w:val="Hyperlink"/>
                </w:rPr>
                <w:t xml:space="preserve">Meeting</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r>
              <w:t xml:space="preserve">IsAgendaItem</w:t>
            </w:r>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AgendaItem">
              <w:r>
                <w:rPr>
                  <w:rStyle w:val="Hyperlink"/>
                </w:rPr>
                <w:t xml:space="preserve">AgendaItem</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bl>
    <w:bookmarkEnd w:id="133"/>
    <w:bookmarkEnd w:id="134"/>
    <w:bookmarkEnd w:id="135"/>
    <w:bookmarkStart w:id="152" w:name="resolution-décision"/>
    <w:p>
      <w:pPr>
        <w:pStyle w:val="berschrift2"/>
      </w:pPr>
      <w:r>
        <w:t xml:space="preserve">Resolution (décision)</w:t>
      </w:r>
    </w:p>
    <w:bookmarkStart w:id="139" w:name="classe-resolution"/>
    <w:p>
      <w:pPr>
        <w:pStyle w:val="berschrift3"/>
      </w:pPr>
      <w:r>
        <w:t xml:space="preserve">Classe: Resolution</w:t>
      </w:r>
      <w:r>
        <w:t xml:space="preserve"> </w:t>
      </w:r>
      <w:bookmarkStart w:id="136" w:name="Resolution"/>
      <w:bookmarkEnd w:id="136"/>
    </w:p>
    <w:p>
      <w:pPr>
        <w:pStyle w:val="FirstParagraph"/>
      </w:pPr>
      <w:r>
        <w:rPr>
          <w:i/>
          <w:iCs/>
        </w:rPr>
        <w:t xml:space="preserve">La décision formelle prise sur un point de l’ordre du jour, y compris les procédures de vote appliquées. Elle retient ce qui a été décidé, tandis que Voting retient comment il a été décidé (procédure et rapport de voix). Toute décision ne repose pas sur un vote formel : les prises de connaissance, les adoptions tacites ou les décisions administratives interviennent sans vote.</w:t>
      </w:r>
    </w:p>
    <w:bookmarkStart w:id="137" w:name="attributs-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Procédures selon lesquelles le vote a eu lieu. Procédures ouvertes : main levée, assis-debout, vote électronique, appel nominal et, en situation de crise, vote à distance (voix communiquées à l’avance à la présidence et saisies en même temps que le vote au conseil), procédure par voie de circulation ou vote lors de séances virtuelles. Procédures secrètes : bulletin de vote, vote électronique secret. La procédure détermine si les voix individuelles peuvent être saisies.</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37"/>
    <w:bookmarkStart w:id="138" w:name="utilisations-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38"/>
    <w:bookmarkEnd w:id="139"/>
    <w:bookmarkStart w:id="151" w:name="enum-resolutiontypeenum"/>
    <w:p>
      <w:pPr>
        <w:pStyle w:val="berschrift3"/>
      </w:pPr>
      <w:r>
        <w:t xml:space="preserve">Enum: ResolutionTypeEnum</w:t>
      </w:r>
      <w:r>
        <w:t xml:space="preserve"> </w:t>
      </w:r>
      <w:bookmarkStart w:id="140" w:name="ResolutionTypeEnum"/>
      <w:bookmarkEnd w:id="140"/>
    </w:p>
    <w:p>
      <w:pPr>
        <w:pStyle w:val="FirstParagraph"/>
      </w:pPr>
      <w:r>
        <w:rPr>
          <w:i/>
          <w:iCs/>
        </w:rPr>
        <w:t xml:space="preserve">Type de décision prise sur un point de l’ordre du jour.</w:t>
      </w:r>
    </w:p>
    <w:p>
      <w:pPr>
        <w:pStyle w:val="Textkrper"/>
      </w:pPr>
      <w:r>
        <w:t xml:space="preserve">URI:</w:t>
      </w:r>
      <w:r>
        <w:t xml:space="preserve"> </w:t>
      </w:r>
      <w:hyperlink ns1:id="rId141">
        <w:r>
          <w:rPr>
            <w:rStyle w:val="Hyperlink"/>
          </w:rPr>
          <w:t xml:space="preserve">ops:ResolutionTypeEnum</w:t>
        </w:r>
      </w:hyperlink>
    </w:p>
    <w:bookmarkStart w:id="150" w:name="valeurs-admissibles-2"/>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Adoption : p. ex. un projet de loi adopté, une proposition approuvée, une décision prise.</w:t>
            </w:r>
          </w:p>
        </w:tc>
      </w:tr>
      <w:tr>
        <w:tc>
          <w:tcPr/>
          <w:p>
            <w:pPr>
              <w:pStyle w:val="Compact"/>
            </w:pPr>
          </w:p>
        </w:tc>
        <w:tc>
          <w:tcPr/>
          <w:p>
            <w:pPr>
              <w:pStyle w:val="Compact"/>
            </w:pPr>
            <w:hyperlink ns1:id="rId142">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 : p. ex. un projet de loi rejeté, une proposition repoussée.</w:t>
            </w:r>
          </w:p>
        </w:tc>
      </w:tr>
      <w:tr>
        <w:tc>
          <w:tcPr/>
          <w:p>
            <w:pPr>
              <w:pStyle w:val="Compact"/>
            </w:pPr>
          </w:p>
        </w:tc>
        <w:tc>
          <w:tcPr/>
          <w:p>
            <w:pPr>
              <w:pStyle w:val="Compact"/>
            </w:pPr>
            <w:hyperlink ns1:id="rId143">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 : p. ex. rapports sans vote, communications, points informatifs.</w:t>
            </w:r>
          </w:p>
        </w:tc>
      </w:tr>
      <w:tr>
        <w:tc>
          <w:tcPr/>
          <w:p>
            <w:pPr>
              <w:pStyle w:val="Compact"/>
            </w:pPr>
          </w:p>
        </w:tc>
        <w:tc>
          <w:tcPr/>
          <w:p>
            <w:pPr>
              <w:pStyle w:val="Compact"/>
            </w:pPr>
            <w:hyperlink ns1:id="rId144">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145">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146">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147">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148">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149">
              <w:r>
                <w:rPr>
                  <w:rStyle w:val="Hyperlink"/>
                </w:rPr>
                <w:t xml:space="preserve">ops:enum/resolution_type/other</w:t>
              </w:r>
            </w:hyperlink>
          </w:p>
        </w:tc>
      </w:tr>
    </w:tbl>
    <w:bookmarkEnd w:id="150"/>
    <w:bookmarkEnd w:id="151"/>
    <w:bookmarkEnd w:id="152"/>
    <w:bookmarkStart w:id="156" w:name="motion-propositions"/>
    <w:p>
      <w:pPr>
        <w:pStyle w:val="berschrift2"/>
      </w:pPr>
      <w:r>
        <w:t xml:space="preserve">Motion (propositions)</w:t>
      </w:r>
    </w:p>
    <w:bookmarkStart w:id="155" w:name="classe-motion"/>
    <w:p>
      <w:pPr>
        <w:pStyle w:val="berschrift3"/>
      </w:pPr>
      <w:r>
        <w:t xml:space="preserve">Classe: Motion</w:t>
      </w:r>
      <w:r>
        <w:t xml:space="preserve"> </w:t>
      </w:r>
      <w:bookmarkStart w:id="153" w:name="Motion"/>
      <w:bookmarkEnd w:id="153"/>
    </w:p>
    <w:p>
      <w:pPr>
        <w:pStyle w:val="FirstParagraph"/>
      </w:pPr>
      <w:r>
        <w:rPr>
          <w:i/>
          <w:iCs/>
        </w:rPr>
        <w:t xml:space="preserve">Une proposition formelle déposée au cours des délibérations, par exemple une proposition d’amendement à un texte légal, une motion d’ordre (p. ex. clôture du débat) ou une proposition de renvoi. Elle constitue une entité propre, car un point de l’ordre du jour peut comprendre plusieurs propositions, chacune ayant son propre déroulement (déposée, soutenue, mise aux voix) et, le cas échéant, son propre vote.</w:t>
      </w:r>
    </w:p>
    <w:bookmarkStart w:id="154" w:name="attributs-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abrégé de la proposition.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intégral de la proposition.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54"/>
    <w:p>
      <w:r>
        <w:br w:type="page"/>
      </w:r>
    </w:p>
    <w:bookmarkEnd w:id="155"/>
    <w:bookmarkEnd w:id="156"/>
    <w:bookmarkEnd w:id="157"/>
    <w:bookmarkStart w:id="226"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w:t>
      </w:r>
    </w:p>
    <w:bookmarkStart w:id="187" w:name="voting-vote"/>
    <w:p>
      <w:pPr>
        <w:pStyle w:val="berschrift2"/>
      </w:pPr>
      <w:r>
        <w:t xml:space="preserve">Voting (vote)</w:t>
      </w:r>
    </w:p>
    <w:bookmarkStart w:id="166" w:name="classe-voting"/>
    <w:p>
      <w:pPr>
        <w:pStyle w:val="berschrift3"/>
      </w:pPr>
      <w:r>
        <w:t xml:space="preserve">Classe: Voting</w:t>
      </w:r>
      <w:r>
        <w:t xml:space="preserve"> </w:t>
      </w:r>
      <w:bookmarkStart w:id="158" w:name="Voting"/>
      <w:bookmarkEnd w:id="158"/>
    </w:p>
    <w:p>
      <w:pPr>
        <w:pStyle w:val="FirstParagraph"/>
      </w:pPr>
      <w:r>
        <w:rPr>
          <w:i/>
          <w:iCs/>
        </w:rPr>
        <w:t xml:space="preserve">Un vote sur une question matérielle : l’objet du vote (la question), la procédure, le résultat avec le rapport de voix et — pour les votes ouverts — les voix individuelles des membres. Le vote a lieu au cours de la séance et est donc rattaché au procès-verbal (parent_protocol, parent_protocol_item) ; il est en outre lié à la séance (parent_meeting) et à l’affaire (affair_id). La présidente ou le président ne participe pas aux votes, mais départage en cas d’égalité des voix (tie_breaker). La décision catégorielle (adopté, rejeté, pris acte …) n’est pas retenue sur le vote, mais dans la Resolution du point de l’ordre du jour.</w:t>
      </w:r>
    </w:p>
    <w:bookmarkStart w:id="159" w:name="attributs-1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le résultat a été obtenu, en cas d’égalité des voix, par la voix prépondérante de la présidente ou du président.</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Nombres de voix pour les options d’un vote à choix multiple, une entrée par option ; remplace total_count_yes, total_count_no et total_count_abstention (voir TotalOther).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membres absents qui n’ont pas pu participer. La liste de présence (Attendance) indique si une absence était excusée.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p. ex. « Adopté par 120 voix contre 75 et 5 abstentions ». Pour les votes, la décision catégorielle (adopté, rejeté, pris acte …) n’est pas retenue ici, mais dans la Resolution (resolution_type) du point de l’ordre du jour.</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vote, une élection, une intervention, une liste de présence ou un procès-verbal, la séance au cours de laquelle l’enregistrement est né. Les points de l’ordre du jour ne le portent pas : ils sont imbriqués dans leur séance.</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dans lequel le vote ou l’élection est consigné. Le vote a lieu au cours de la séance et se rattache donc au procès-verbal, et non à l’ordre du jour planifié à l’avance : ce qui a été mis à l’ordre du jour ne dit pas encore sur quoi il a effectivement été voté. Inversement, le procès-verbal reprend ses votes et élections sous forme de listes (votings, elections).</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Le point consigné au procès-verbal (ProtocolItem) sous lequel le vote ou l’élection a eu lieu. Absent lorsque le vote a eu lieu sans point de l’ordre du jour ; le rattachement à la séance découle alors uniquement de parent_protocol et parent_meeting.</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l’affaire (eCH-0295) à laquelle se rapporte l’enregistrement. Les points administratifs (p. ex. approbation du procès-verbal) n’ont pas d’affaire. Une affaire passe en règle générale par plusieurs points de l’ordre du jour — dans la législation, par exemple, le débat d’entrée en matière, la discussion par article, le vote final et, le cas échéant, la procédure d’élimination des divergences entre les conseils.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59"/>
    <w:bookmarkStart w:id="160" w:name="utilisations-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160"/>
    <w:bookmarkStart w:id="165" w:name="exemples-6"/>
    <w:p>
      <w:pPr>
        <w:pStyle w:val="berschrift4"/>
      </w:pPr>
      <w:r>
        <w:t xml:space="preserve">Exemples</w:t>
      </w:r>
    </w:p>
    <w:bookmarkStart w:id="161" w:name="exemple-voting-vote-final-sur-le-budget"/>
    <w:p>
      <w:pPr>
        <w:pStyle w:val="berschrift5"/>
      </w:pPr>
      <w:r>
        <w:t xml:space="preserve">Exemple Voting : Vote final sur le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61"/>
    <w:bookmarkStart w:id="162" w:name="Xe96c2b6703fae241b85cf047a4848dbbd537b7d"/>
    <w:p>
      <w:pPr>
        <w:pStyle w:val="berschrift5"/>
      </w:pPr>
      <w:r>
        <w:t xml:space="preserve">Exemple Voting :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162"/>
    <w:bookmarkStart w:id="163" w:name="X48a63ba74a4a813b82e44c12200a9d493994906"/>
    <w:p>
      <w:pPr>
        <w:pStyle w:val="berschrift5"/>
      </w:pPr>
      <w:r>
        <w:t xml:space="preserve">Exemple Voting :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63"/>
    <w:bookmarkStart w:id="164" w:name="X0cfbee0565dc4ed7922d5c747c1ce647ffedce0"/>
    <w:p>
      <w:pPr>
        <w:pStyle w:val="berschrift5"/>
      </w:pPr>
      <w:r>
        <w:t xml:space="preserve">Exemple Voting :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164"/>
    <w:bookmarkEnd w:id="165"/>
    <w:bookmarkEnd w:id="166"/>
    <w:bookmarkStart w:id="175" w:name="enum-votingtypeenum"/>
    <w:p>
      <w:pPr>
        <w:pStyle w:val="berschrift3"/>
      </w:pPr>
      <w:r>
        <w:t xml:space="preserve">Enum: VotingTypeEnum</w:t>
      </w:r>
      <w:r>
        <w:t xml:space="preserve"> </w:t>
      </w:r>
      <w:bookmarkStart w:id="167" w:name="VotingTypeEnum"/>
      <w:bookmarkEnd w:id="167"/>
    </w:p>
    <w:p>
      <w:pPr>
        <w:pStyle w:val="FirstParagraph"/>
      </w:pPr>
      <w:r>
        <w:rPr>
          <w:i/>
          <w:iCs/>
        </w:rPr>
        <w:t xml:space="preserve">Type de procédure de vote.</w:t>
      </w:r>
    </w:p>
    <w:p>
      <w:pPr>
        <w:pStyle w:val="Textkrper"/>
      </w:pPr>
      <w:r>
        <w:t xml:space="preserve">URI:</w:t>
      </w:r>
      <w:r>
        <w:t xml:space="preserve"> </w:t>
      </w:r>
      <w:hyperlink ns1:id="rId168">
        <w:r>
          <w:rPr>
            <w:rStyle w:val="Hyperlink"/>
          </w:rPr>
          <w:t xml:space="preserve">ops:VotingTypeEnum</w:t>
        </w:r>
      </w:hyperlink>
    </w:p>
    <w:bookmarkStart w:id="174" w:name="valeurs-admissibles-3"/>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 au cours de la délibération, p. ex. sur l’entrée en matière, sur une proposition, opposition de deux propositions qui s’excluent mutuellement ou portent sur le même passage, vote éventuel lorsque plus de deux propositions portent sur un même objet, sur un article isolé d’une loi, ou vote sur l’ensemble après la première lecture d’un acte délibéré en deux lectures.</w:t>
            </w:r>
          </w:p>
        </w:tc>
      </w:tr>
      <w:tr>
        <w:tc>
          <w:tcPr/>
          <w:p>
            <w:pPr>
              <w:pStyle w:val="Compact"/>
            </w:pPr>
          </w:p>
        </w:tc>
        <w:tc>
          <w:tcPr/>
          <w:p>
            <w:pPr>
              <w:pStyle w:val="Compact"/>
            </w:pPr>
            <w:hyperlink ns1:id="rId169">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 sur l’objet dans son ensemble, p. ex. après la dernière lecture d’un acte, vote sur l’ensemble d’un arrêté, adoption ou rejet d’un objet dans sa totalité, ou vote point par point sur une intervention parlementaire.</w:t>
            </w:r>
          </w:p>
        </w:tc>
      </w:tr>
      <w:tr>
        <w:tc>
          <w:tcPr/>
          <w:p>
            <w:pPr>
              <w:pStyle w:val="Compact"/>
            </w:pPr>
          </w:p>
        </w:tc>
        <w:tc>
          <w:tcPr/>
          <w:p>
            <w:pPr>
              <w:pStyle w:val="Compact"/>
            </w:pPr>
            <w:hyperlink ns1:id="rId170">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présidente ou du président en cas d’égalité des voix. La présidente ou le président ne participe pas aux votes, mais tranche en cas d’égalité. Si un vote secret aboutit à une égalité, c’est la proposition de l’organe préparatoire qui est réputée adoptée.</w:t>
            </w:r>
          </w:p>
        </w:tc>
      </w:tr>
      <w:tr>
        <w:tc>
          <w:tcPr/>
          <w:p>
            <w:pPr>
              <w:pStyle w:val="Compact"/>
            </w:pPr>
          </w:p>
        </w:tc>
        <w:tc>
          <w:tcPr/>
          <w:p>
            <w:pPr>
              <w:pStyle w:val="Compact"/>
            </w:pPr>
            <w:hyperlink ns1:id="rId171">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secret, p. ex. sur des objets particulièrement sensibles tels qu’un recours en grâce ou la levée de l’immunité, après une délibération secrète ou sur demande. Seul le résultat global est publié.</w:t>
            </w:r>
          </w:p>
        </w:tc>
      </w:tr>
      <w:tr>
        <w:tc>
          <w:tcPr/>
          <w:p>
            <w:pPr>
              <w:pStyle w:val="Compact"/>
            </w:pPr>
          </w:p>
        </w:tc>
        <w:tc>
          <w:tcPr/>
          <w:p>
            <w:pPr>
              <w:pStyle w:val="Compact"/>
            </w:pPr>
            <w:hyperlink ns1:id="rId172">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 précisé dans type_label — p. ex. un vote à choix multiple sur plusieurs propositions de même sens (voir TotalOther).</w:t>
            </w:r>
          </w:p>
        </w:tc>
      </w:tr>
      <w:tr>
        <w:tc>
          <w:tcPr/>
          <w:p>
            <w:pPr>
              <w:pStyle w:val="Compact"/>
            </w:pPr>
          </w:p>
        </w:tc>
        <w:tc>
          <w:tcPr/>
          <w:p>
            <w:pPr>
              <w:pStyle w:val="Compact"/>
            </w:pPr>
            <w:hyperlink ns1:id="rId173">
              <w:r>
                <w:rPr>
                  <w:rStyle w:val="Hyperlink"/>
                </w:rPr>
                <w:t xml:space="preserve">ops:enum/voting_type/other</w:t>
              </w:r>
            </w:hyperlink>
          </w:p>
        </w:tc>
      </w:tr>
    </w:tbl>
    <w:bookmarkEnd w:id="174"/>
    <w:bookmarkEnd w:id="175"/>
    <w:bookmarkStart w:id="182" w:name="enum-majoritytypeenum"/>
    <w:p>
      <w:pPr>
        <w:pStyle w:val="berschrift3"/>
      </w:pPr>
      <w:r>
        <w:t xml:space="preserve">Enum: MajorityTypeEnum</w:t>
      </w:r>
      <w:r>
        <w:t xml:space="preserve"> </w:t>
      </w:r>
      <w:bookmarkStart w:id="176" w:name="MajorityTypeEnum"/>
      <w:bookmarkEnd w:id="176"/>
    </w:p>
    <w:p>
      <w:pPr>
        <w:pStyle w:val="FirstParagraph"/>
      </w:pPr>
      <w:r>
        <w:rPr>
          <w:i/>
          <w:iCs/>
        </w:rPr>
        <w:t xml:space="preserve">Type de majorité requise pour le vote.</w:t>
      </w:r>
    </w:p>
    <w:p>
      <w:pPr>
        <w:pStyle w:val="Textkrper"/>
      </w:pPr>
      <w:r>
        <w:t xml:space="preserve">URI:</w:t>
      </w:r>
      <w:r>
        <w:t xml:space="preserve"> </w:t>
      </w:r>
      <w:hyperlink ns1:id="rId177">
        <w:r>
          <w:rPr>
            <w:rStyle w:val="Hyperlink"/>
          </w:rPr>
          <w:t xml:space="preserve">ops:MajorityTypeEnum</w:t>
        </w:r>
      </w:hyperlink>
    </w:p>
    <w:bookmarkStart w:id="181" w:name="valeurs-admissibles-4"/>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 : plus de la moitié de la base de référence (membres ou voix exprimées, selon la réglementation applicable), p. ex. au moins 101 sur 200. Cas standard pour les élections de personnes telles que l’élection du Conseil fédéral ou des présidences de commission, et requise dans certains cantons pour les modifications constitutionnelles. Si personne ne l’atteint au premier tour d’une élection, un second tour suit généralement, où la majorité relative suffit.</w:t>
            </w:r>
          </w:p>
        </w:tc>
      </w:tr>
      <w:tr>
        <w:tc>
          <w:tcPr/>
          <w:p>
            <w:pPr>
              <w:pStyle w:val="Compact"/>
            </w:pPr>
          </w:p>
        </w:tc>
        <w:tc>
          <w:tcPr/>
          <w:p>
            <w:pPr>
              <w:pStyle w:val="Compact"/>
            </w:pPr>
            <w:hyperlink ns1:id="rId178">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 p. ex. au moins 134 sur 200 ; requise dans certains cantons pour les modifications constitutionnelles.</w:t>
            </w:r>
          </w:p>
        </w:tc>
      </w:tr>
      <w:tr>
        <w:tc>
          <w:tcPr/>
          <w:p>
            <w:pPr>
              <w:pStyle w:val="Compact"/>
            </w:pPr>
          </w:p>
        </w:tc>
        <w:tc>
          <w:tcPr/>
          <w:p>
            <w:pPr>
              <w:pStyle w:val="Compact"/>
            </w:pPr>
            <w:hyperlink ns1:id="rId179">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 p. ex. la majorité relative entre plusieurs options d’un vote à choix multiple.</w:t>
            </w:r>
          </w:p>
        </w:tc>
      </w:tr>
      <w:tr>
        <w:tc>
          <w:tcPr/>
          <w:p>
            <w:pPr>
              <w:pStyle w:val="Compact"/>
            </w:pPr>
          </w:p>
        </w:tc>
        <w:tc>
          <w:tcPr/>
          <w:p>
            <w:pPr>
              <w:pStyle w:val="Compact"/>
            </w:pPr>
            <w:hyperlink ns1:id="rId180">
              <w:r>
                <w:rPr>
                  <w:rStyle w:val="Hyperlink"/>
                </w:rPr>
                <w:t xml:space="preserve">ops:enum/majority_type/other</w:t>
              </w:r>
            </w:hyperlink>
          </w:p>
        </w:tc>
      </w:tr>
    </w:tbl>
    <w:bookmarkEnd w:id="181"/>
    <w:bookmarkEnd w:id="182"/>
    <w:bookmarkStart w:id="186" w:name="classe-totalother"/>
    <w:p>
      <w:pPr>
        <w:pStyle w:val="berschrift3"/>
      </w:pPr>
      <w:r>
        <w:t xml:space="preserve">Classe: TotalOther</w:t>
      </w:r>
      <w:r>
        <w:t xml:space="preserve"> </w:t>
      </w:r>
      <w:bookmarkStart w:id="183" w:name="TotalOther"/>
      <w:bookmarkEnd w:id="183"/>
    </w:p>
    <w:p>
      <w:pPr>
        <w:pStyle w:val="FirstParagraph"/>
      </w:pPr>
      <w:r>
        <w:rPr>
          <w:i/>
          <w:iCs/>
        </w:rPr>
        <w:t xml:space="preserve">Nombre de voix pour une option d’un vote à choix multiple. Lorsque plusieurs propositions de même sens portent sur la même question, les membres votent simultanément sur plus de deux variantes, et la variante qui obtient le plus de voix l’emporte (à Zurich, familièrement « Cup-Abstimmung », au moyen de plusieurs boutons de vote). Un tel vote est représenté avec voting_type other et un type_label explicite ; total_count_yes, total_count_no et total_count_abstention restent vides, et chaque option reçoit une entrée avec count et label. Exemple : Gemeinderat de la Ville de Zurich, séance du 28 février 2024, affaire 2023/361, quatre options avec 75, 25, 12 et 0 voix.</w:t>
      </w:r>
    </w:p>
    <w:bookmarkStart w:id="184" w:name="attributs-1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pour la catégorie « autres ».</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bl>
    <w:bookmarkEnd w:id="184"/>
    <w:bookmarkStart w:id="185" w:name="utilisations-9"/>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185"/>
    <w:bookmarkEnd w:id="186"/>
    <w:bookmarkEnd w:id="187"/>
    <w:bookmarkStart w:id="213" w:name="individual-vote-voix-individuelle"/>
    <w:p>
      <w:pPr>
        <w:pStyle w:val="berschrift2"/>
      </w:pPr>
      <w:r>
        <w:t xml:space="preserve">Individual Vote (voix individuelle)</w:t>
      </w:r>
    </w:p>
    <w:bookmarkStart w:id="202" w:name="classe-individualvote"/>
    <w:p>
      <w:pPr>
        <w:pStyle w:val="berschrift3"/>
      </w:pPr>
      <w:r>
        <w:t xml:space="preserve">Classe: IndividualVote</w:t>
      </w:r>
      <w:r>
        <w:t xml:space="preserve"> </w:t>
      </w:r>
      <w:bookmarkStart w:id="188" w:name="IndividualVote"/>
      <w:bookmarkEnd w:id="188"/>
    </w:p>
    <w:p>
      <w:pPr>
        <w:pStyle w:val="FirstParagraph"/>
      </w:pPr>
      <w:r>
        <w:rPr>
          <w:i/>
          <w:iCs/>
        </w:rPr>
        <w:t xml:space="preserve">La voix exprimée par un membre lors d’un vote. Les voix individuelles ne sont saisies que pour les votes ouverts ; pour les votes secrets, seul le résultat global est publié. Une voix individuelle concerne un vote déterminé et se distingue de la présence (Attendance), qui retient la présence à la séance dans son ensemble : un membre présent à la séance peut être saisi avec not_voted lors d’un vote particulier, par exemple parce qu’il a brièvement quitté la salle.</w:t>
      </w:r>
    </w:p>
    <w:bookmarkStart w:id="189" w:name="attributs-1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Le membre qui a exprimé la voix, sous forme de référence à une personne selon eCH-0294.</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Poids de la voix du membre ; normalement 1. D’autres valeurs se présentent par exemple lorsqu’un membre vote aussi pour un membre absent (représentation, poids 2), dans les assemblées communales où des personnes morales disposent de plusieurs voix, ou dans des systèmes historiques où différents groupes de personnes avaient un poids de voix différent.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89"/>
    <w:bookmarkStart w:id="190" w:name="utilisations-10"/>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190"/>
    <w:bookmarkStart w:id="201" w:name="exemples-7"/>
    <w:p>
      <w:pPr>
        <w:pStyle w:val="berschrift4"/>
      </w:pPr>
      <w:r>
        <w:t xml:space="preserve">Exemples</w:t>
      </w:r>
    </w:p>
    <w:bookmarkStart w:id="191" w:name="exemple-individualvote-voix-non"/>
    <w:p>
      <w:pPr>
        <w:pStyle w:val="berschrift5"/>
      </w:pPr>
      <w:r>
        <w:t xml:space="preserve">Exemple IndividualVote : Voix « non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1"/>
    <w:bookmarkStart w:id="192" w:name="X244160609760ac4fc9eac5b51129a1f07862011"/>
    <w:p>
      <w:pPr>
        <w:pStyle w:val="berschrift5"/>
      </w:pPr>
      <w:r>
        <w:t xml:space="preserve">Exemple IndividualVote :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92"/>
    <w:bookmarkStart w:id="193" w:name="exemple-individualvote-abstention"/>
    <w:p>
      <w:pPr>
        <w:pStyle w:val="berschrift5"/>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3"/>
    <w:bookmarkStart w:id="194" w:name="exemple-individualvote-yes-vote"/>
    <w:p>
      <w:pPr>
        <w:pStyle w:val="berschrift5"/>
      </w:pPr>
      <w:r>
        <w:t xml:space="preserve">Exemple IndividualVote :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4"/>
    <w:bookmarkStart w:id="195" w:name="X029fb6acaaa1ddd60b63c15a53cbef128cd0448"/>
    <w:p>
      <w:pPr>
        <w:pStyle w:val="berschrift5"/>
      </w:pPr>
      <w:r>
        <w:t xml:space="preserve">Exemple IndividualVote :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5"/>
    <w:bookmarkStart w:id="196" w:name="X3df7ae5cd204f8985921574f6f076fca88e9661"/>
    <w:p>
      <w:pPr>
        <w:pStyle w:val="berschrift5"/>
      </w:pPr>
      <w:r>
        <w:t xml:space="preserve">Exemple IndividualVote :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6"/>
    <w:bookmarkStart w:id="197" w:name="exemple-individualvote-did-not-vote"/>
    <w:p>
      <w:pPr>
        <w:pStyle w:val="berschrift5"/>
      </w:pPr>
      <w:r>
        <w:t xml:space="preserve">Exemple IndividualVote :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7"/>
    <w:bookmarkStart w:id="198" w:name="X807ea69ff193a4f47818ee327a28177fee6c4c6"/>
    <w:p>
      <w:pPr>
        <w:pStyle w:val="berschrift5"/>
      </w:pPr>
      <w:r>
        <w:t xml:space="preserve">Exemple IndividualVote :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98"/>
    <w:bookmarkStart w:id="199" w:name="X7a8ef7d9e8cafc5e8a4fa14d16510e27525f7b6"/>
    <w:p>
      <w:pPr>
        <w:pStyle w:val="berschrift5"/>
      </w:pPr>
      <w:r>
        <w:t xml:space="preserve">Exemple IndividualVote :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9"/>
    <w:bookmarkStart w:id="200" w:name="X08a3e28fd2c04f97ccd3da6d92d40fa7e6128c1"/>
    <w:p>
      <w:pPr>
        <w:pStyle w:val="berschrift5"/>
      </w:pPr>
      <w:r>
        <w:t xml:space="preserve">Exemple IndividualVote :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00"/>
    <w:bookmarkEnd w:id="201"/>
    <w:bookmarkEnd w:id="202"/>
    <w:bookmarkStart w:id="212" w:name="enum-individualvotetypeenum"/>
    <w:p>
      <w:pPr>
        <w:pStyle w:val="berschrift3"/>
      </w:pPr>
      <w:r>
        <w:t xml:space="preserve">Enum: IndividualVoteTypeEnum</w:t>
      </w:r>
      <w:r>
        <w:t xml:space="preserve"> </w:t>
      </w:r>
      <w:bookmarkStart w:id="203" w:name="IndividualVoteTypeEnum"/>
      <w:bookmarkEnd w:id="203"/>
    </w:p>
    <w:p>
      <w:pPr>
        <w:pStyle w:val="FirstParagraph"/>
      </w:pPr>
      <w:r>
        <w:rPr>
          <w:i/>
          <w:iCs/>
        </w:rPr>
        <w:t xml:space="preserve">Type de voix individuelle exprimée par un membre.</w:t>
      </w:r>
    </w:p>
    <w:p>
      <w:pPr>
        <w:pStyle w:val="Textkrper"/>
      </w:pPr>
      <w:r>
        <w:t xml:space="preserve">URI:</w:t>
      </w:r>
      <w:r>
        <w:t xml:space="preserve"> </w:t>
      </w:r>
      <w:hyperlink ns1:id="rId204">
        <w:r>
          <w:rPr>
            <w:rStyle w:val="Hyperlink"/>
          </w:rPr>
          <w:t xml:space="preserve">ops:IndividualVoteTypeEnum</w:t>
        </w:r>
      </w:hyperlink>
    </w:p>
    <w:bookmarkStart w:id="211" w:name="valeurs-admissibles-5"/>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Oui : le membre approuve l’objet ou la proposition.</w:t>
            </w:r>
          </w:p>
        </w:tc>
      </w:tr>
      <w:tr>
        <w:tc>
          <w:tcPr/>
          <w:p>
            <w:pPr>
              <w:pStyle w:val="Compact"/>
            </w:pPr>
          </w:p>
        </w:tc>
        <w:tc>
          <w:tcPr/>
          <w:p>
            <w:pPr>
              <w:pStyle w:val="Compact"/>
            </w:pPr>
            <w:hyperlink ns1:id="rId205">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Non : le membre rejette l’objet ou la proposition.</w:t>
            </w:r>
          </w:p>
        </w:tc>
      </w:tr>
      <w:tr>
        <w:tc>
          <w:tcPr/>
          <w:p>
            <w:pPr>
              <w:pStyle w:val="Compact"/>
            </w:pPr>
          </w:p>
        </w:tc>
        <w:tc>
          <w:tcPr/>
          <w:p>
            <w:pPr>
              <w:pStyle w:val="Compact"/>
            </w:pPr>
            <w:hyperlink ns1:id="rId206">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 : le membre participe au vote mais s’abstient ; en cas de vote électronique, il presse le bouton « abstention ».</w:t>
            </w:r>
          </w:p>
        </w:tc>
      </w:tr>
      <w:tr>
        <w:tc>
          <w:tcPr/>
          <w:p>
            <w:pPr>
              <w:pStyle w:val="Compact"/>
            </w:pPr>
          </w:p>
        </w:tc>
        <w:tc>
          <w:tcPr/>
          <w:p>
            <w:pPr>
              <w:pStyle w:val="Compact"/>
            </w:pPr>
            <w:hyperlink ns1:id="rId207">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 : le membre n’a pas exprimé de voix, par exemple parce qu’il était présent sans voter ou absent.</w:t>
            </w:r>
          </w:p>
        </w:tc>
      </w:tr>
      <w:tr>
        <w:tc>
          <w:tcPr/>
          <w:p>
            <w:pPr>
              <w:pStyle w:val="Compact"/>
            </w:pPr>
          </w:p>
        </w:tc>
        <w:tc>
          <w:tcPr/>
          <w:p>
            <w:pPr>
              <w:pStyle w:val="Compact"/>
            </w:pPr>
            <w:hyperlink ns1:id="rId208">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exprimée par la présidente ou le président en cas d’égalité des voix (voir voting_type tie_breaker_president).</w:t>
            </w:r>
          </w:p>
        </w:tc>
      </w:tr>
      <w:tr>
        <w:tc>
          <w:tcPr/>
          <w:p>
            <w:pPr>
              <w:pStyle w:val="Compact"/>
            </w:pPr>
          </w:p>
        </w:tc>
        <w:tc>
          <w:tcPr/>
          <w:p>
            <w:pPr>
              <w:pStyle w:val="Compact"/>
            </w:pPr>
            <w:hyperlink ns1:id="rId209">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Voix qui ne peut être placée sur l’axe oui/non — par exemple lors d’un vote à choix multiple, où le membre a voté, mais ni oui ni non ; l’option choisie est retenue dans type_label (p. ex. « Choix A »). Pendant de total_other sur le vote ; la voix individuelle reste ainsi exploitable sans qu’il faille une valeur d’énumération propre pour chaque mécanisme de choix cantonal.</w:t>
            </w:r>
          </w:p>
        </w:tc>
      </w:tr>
      <w:tr>
        <w:tc>
          <w:tcPr/>
          <w:p>
            <w:pPr>
              <w:pStyle w:val="Compact"/>
            </w:pPr>
          </w:p>
        </w:tc>
        <w:tc>
          <w:tcPr/>
          <w:p>
            <w:pPr>
              <w:pStyle w:val="Compact"/>
            </w:pPr>
            <w:hyperlink ns1:id="rId210">
              <w:r>
                <w:rPr>
                  <w:rStyle w:val="Hyperlink"/>
                </w:rPr>
                <w:t xml:space="preserve">ops:enum/individual_vote_type/other</w:t>
              </w:r>
            </w:hyperlink>
          </w:p>
        </w:tc>
      </w:tr>
    </w:tbl>
    <w:bookmarkEnd w:id="211"/>
    <w:bookmarkEnd w:id="212"/>
    <w:bookmarkEnd w:id="213"/>
    <w:bookmarkStart w:id="225" w:name="election-élection"/>
    <w:p>
      <w:pPr>
        <w:pStyle w:val="berschrift2"/>
      </w:pPr>
      <w:r>
        <w:t xml:space="preserve">Election (élection)</w:t>
      </w:r>
    </w:p>
    <w:bookmarkStart w:id="217" w:name="classe-election"/>
    <w:p>
      <w:pPr>
        <w:pStyle w:val="berschrift3"/>
      </w:pPr>
      <w:r>
        <w:t xml:space="preserve">Classe: Election</w:t>
      </w:r>
      <w:r>
        <w:t xml:space="preserve"> </w:t>
      </w:r>
      <w:bookmarkStart w:id="214" w:name="Election"/>
      <w:bookmarkEnd w:id="214"/>
    </w:p>
    <w:p>
      <w:pPr>
        <w:pStyle w:val="FirstParagraph"/>
      </w:pPr>
      <w:r>
        <w:rPr>
          <w:i/>
          <w:iCs/>
        </w:rPr>
        <w:t xml:space="preserve">Une élection par laquelle un organe parlementaire désigne une ou plusieurs personnes à une charge ou à une fonction. Contrairement au vote (Voting), qui tranche des questions matérielles, l’élection est une décision portant sur des personnes : elle a souvent lieu au scrutin secret et requiert en général la majorité absolue, alors que les votes sont le plus souvent ouverts. La présidente ou le président, qui ne participe pas aux votes, prend part aux élections. Chaque tour de scrutin est saisi comme une élection distincte ; les tours d’une même élection sont reliés par le point de l’ordre du jour commun — par exemple un premier tour à la majorité absolue resté sans résultat, suivi d’un second tour où la majorité relative suffit.</w:t>
      </w:r>
    </w:p>
    <w:bookmarkStart w:id="215" w:name="attributs-1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l’élection, p. ex. « Élection à la présidence de la CER ».</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de membres absents qui n’ont pas pu participer. La liste de présence (Attendance) indique si une absence était excusée.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p. ex. « Adopté par 120 voix contre 75 et 5 abstentions ». Pour les votes, la décision catégorielle (adopté, rejeté, pris acte …) n’est pas retenue ici, mais dans la Resolution (resolution_type) du point de l’ordre du jour.</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à laquelle cet enregistrement se rattache. Pour une séance, il désigne la séance supérieure ; pour un vote, une élection, une intervention, une liste de présence ou un procès-verbal, la séance au cours de laquelle l’enregistrement est né. Les points de l’ordre du jour ne le portent pas : ils sont imbriqués dans leur séance.</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Le procès-verbal dans lequel le vote ou l’élection est consigné. Le vote a lieu au cours de la séance et se rattache donc au procès-verbal, et non à l’ordre du jour planifié à l’avance : ce qui a été mis à l’ordre du jour ne dit pas encore sur quoi il a effectivement été voté. Inversement, le procès-verbal reprend ses votes et élections sous forme de listes (votings, elections).</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Le point consigné au procès-verbal (ProtocolItem) sous lequel le vote ou l’élection a eu lieu. Absent lorsque le vote a eu lieu sans point de l’ordre du jour ; le rattachement à la séance découle alors uniquement de parent_protocol et parent_meeting.</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Identifiant de l’affaire (eCH-0295) à laquelle se rapporte l’enregistrement. Les points administratifs (p. ex. approbation du procès-verbal) n’ont pas d’affaire. Une affaire passe en règle générale par plusieurs points de l’ordre du jour — dans la législation, par exemple, le débat d’entrée en matière, la discussion par article, le vote final et, le cas échéant, la procédure d’élimination des divergences entre les conseils.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15"/>
    <w:bookmarkStart w:id="216" w:name="utilisations-1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216"/>
    <w:bookmarkEnd w:id="217"/>
    <w:bookmarkStart w:id="224" w:name="enum-electiontypeenum"/>
    <w:p>
      <w:pPr>
        <w:pStyle w:val="berschrift3"/>
      </w:pPr>
      <w:r>
        <w:t xml:space="preserve">Enum: ElectionTypeEnum</w:t>
      </w:r>
      <w:r>
        <w:t xml:space="preserve"> </w:t>
      </w:r>
      <w:bookmarkStart w:id="218" w:name="ElectionTypeEnum"/>
      <w:bookmarkEnd w:id="218"/>
    </w:p>
    <w:p>
      <w:pPr>
        <w:pStyle w:val="FirstParagraph"/>
      </w:pPr>
      <w:r>
        <w:rPr>
          <w:i/>
          <w:iCs/>
        </w:rPr>
        <w:t xml:space="preserve">Type de procédure d’élection.</w:t>
      </w:r>
    </w:p>
    <w:p>
      <w:pPr>
        <w:pStyle w:val="Textkrper"/>
      </w:pPr>
      <w:r>
        <w:t xml:space="preserve">URI:</w:t>
      </w:r>
      <w:r>
        <w:t xml:space="preserve"> </w:t>
      </w:r>
      <w:hyperlink ns1:id="rId219">
        <w:r>
          <w:rPr>
            <w:rStyle w:val="Hyperlink"/>
          </w:rPr>
          <w:t xml:space="preserve">ops:ElectionTypeEnum</w:t>
        </w:r>
      </w:hyperlink>
    </w:p>
    <w:bookmarkStart w:id="223" w:name="valeurs-admissibles-6"/>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secrète : les voix sont exprimées anonymement, au moyen d’un bulletin ou d’un système électronique de vote secret, de sorte qu’on ne peut savoir qui a élu qui. Standard pour les élections de personnes et souvent prescrite par la loi — au niveau fédéral p. ex. le Conseil fédéral (par l’Assemblée fédérale Chambres réunies, à la majorité absolue lors des premiers tours), les juges fédérales et juges fédéraux et les présidences de commission ; au niveau cantonal p. ex. la présidence du parlement, la présidence du gouvernement, les présidences des tribunaux suprêmes, les juges, la chancelière ou le chancelier d’État et les présidences de commission. Seul le résultat global est publié, sans voix individuelles.</w:t>
            </w:r>
          </w:p>
        </w:tc>
      </w:tr>
      <w:tr>
        <w:tc>
          <w:tcPr/>
          <w:p>
            <w:pPr>
              <w:pStyle w:val="Compact"/>
            </w:pPr>
          </w:p>
        </w:tc>
        <w:tc>
          <w:tcPr/>
          <w:p>
            <w:pPr>
              <w:pStyle w:val="Compact"/>
            </w:pPr>
            <w:hyperlink ns1:id="rId220">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ouverte : les voix sont exprimées ouvertement et l’on peut savoir qui a élu qui ; les voix individuelles peuvent donc être saisies. Usuelle lorsque la transparence est souhaitée, pour les élections non disputées ou dans les organes de petite taille.</w:t>
            </w:r>
          </w:p>
        </w:tc>
      </w:tr>
      <w:tr>
        <w:tc>
          <w:tcPr/>
          <w:p>
            <w:pPr>
              <w:pStyle w:val="Compact"/>
            </w:pPr>
          </w:p>
        </w:tc>
        <w:tc>
          <w:tcPr/>
          <w:p>
            <w:pPr>
              <w:pStyle w:val="Compact"/>
            </w:pPr>
            <w:hyperlink ns1:id="rId221">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vote formel, par acclamation ou consensus ; possible uniquement si aucune opposition n’est formulée, p. ex. la réélection d’une présidente ou d’un président de commission sans candidature concurrente.</w:t>
            </w:r>
          </w:p>
        </w:tc>
      </w:tr>
      <w:tr>
        <w:tc>
          <w:tcPr/>
          <w:p>
            <w:pPr>
              <w:pStyle w:val="Compact"/>
            </w:pPr>
          </w:p>
        </w:tc>
        <w:tc>
          <w:tcPr/>
          <w:p>
            <w:pPr>
              <w:pStyle w:val="Compact"/>
            </w:pPr>
            <w:hyperlink ns1:id="rId222">
              <w:r>
                <w:rPr>
                  <w:rStyle w:val="Hyperlink"/>
                </w:rPr>
                <w:t xml:space="preserve">ops:enum/election_type/silent</w:t>
              </w:r>
            </w:hyperlink>
          </w:p>
        </w:tc>
      </w:tr>
    </w:tbl>
    <w:bookmarkEnd w:id="223"/>
    <w:p>
      <w:r>
        <w:br w:type="page"/>
      </w:r>
    </w:p>
    <w:bookmarkEnd w:id="224"/>
    <w:bookmarkEnd w:id="225"/>
    <w:bookmarkEnd w:id="226"/>
    <w:bookmarkStart w:id="258" w:name="présence"/>
    <w:p>
      <w:pPr>
        <w:pStyle w:val="berschrift1"/>
      </w:pPr>
      <w:r>
        <w:t xml:space="preserve">Présence</w:t>
      </w:r>
    </w:p>
    <w:p>
      <w:pPr>
        <w:pStyle w:val="FirstParagraph"/>
      </w:pPr>
      <w:r>
        <w:t xml:space="preserve">Les listes de présence consignent qui a participé à une séance. Elles documentent la participation et constituent la base permettant d’apprécier la capacité de décision d’un organe.</w:t>
      </w:r>
    </w:p>
    <w:bookmarkStart w:id="231" w:name="attendance-présence"/>
    <w:p>
      <w:pPr>
        <w:pStyle w:val="berschrift2"/>
      </w:pPr>
      <w:r>
        <w:t xml:space="preserve">Attendance (présence)</w:t>
      </w:r>
    </w:p>
    <w:bookmarkStart w:id="227" w:name="notion-et-signification"/>
    <w:p>
      <w:pPr>
        <w:pStyle w:val="berschrift3"/>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227"/>
    <w:bookmarkStart w:id="230" w:name="structure-à-deux-niveaux"/>
    <w:p>
      <w:pPr>
        <w:pStyle w:val="berschrift3"/>
      </w:pPr>
      <w:r>
        <w:t xml:space="preserve">Structure à deux niveaux</w:t>
      </w:r>
    </w:p>
    <w:p>
      <w:pPr>
        <w:pStyle w:val="FirstParagraph"/>
      </w:pPr>
      <w:r>
        <w:t xml:space="preserve">La norme distingue deux niveaux de saisie de la présence :</w:t>
      </w:r>
    </w:p>
    <w:bookmarkStart w:id="228" w:name="attendance-niveau-agrégé"/>
    <w:p>
      <w:pPr>
        <w:pStyle w:val="berschrift4"/>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228"/>
    <w:bookmarkStart w:id="229" w:name="individualattendance-niveau-individuel"/>
    <w:p>
      <w:pPr>
        <w:pStyle w:val="berschrift4"/>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229"/>
    <w:bookmarkEnd w:id="230"/>
    <w:bookmarkEnd w:id="231"/>
    <w:bookmarkStart w:id="235" w:name="attendance-niveau-agrégé-1"/>
    <w:p>
      <w:pPr>
        <w:pStyle w:val="berschrift2"/>
      </w:pPr>
      <w:r>
        <w:t xml:space="preserve">Attendance (niveau agrégé)</w:t>
      </w:r>
    </w:p>
    <w:bookmarkStart w:id="232" w:name="rattachement-à-la-séance-et-à-lorgane"/>
    <w:p>
      <w:pPr>
        <w:pStyle w:val="berschrift4"/>
      </w:pPr>
      <w:r>
        <w:t xml:space="preserve">Rattachement à la séance et à l’organe</w:t>
      </w:r>
    </w:p>
    <w:p>
      <w:pPr>
        <w:pStyle w:val="Compact"/>
        <w:numPr>
          <w:ilvl w:val="0"/>
          <w:numId w:val="1002"/>
        </w:numPr>
      </w:pPr>
      <w:r>
        <w:rPr>
          <w:b/>
          <w:bCs/>
        </w:rPr>
        <w:t xml:space="preserve">parent_meeting</w:t>
      </w:r>
      <w:r>
        <w:t xml:space="preserve"> </w:t>
      </w:r>
      <w:r>
        <w:t xml:space="preserve">: renvoi à la séance à laquelle se rapporte la liste de présence</w:t>
      </w:r>
    </w:p>
    <w:p>
      <w:pPr>
        <w:pStyle w:val="Compact"/>
        <w:numPr>
          <w:ilvl w:val="0"/>
          <w:numId w:val="1002"/>
        </w:numPr>
      </w:pPr>
      <w:r>
        <w:rPr>
          <w:b/>
          <w:bCs/>
        </w:rPr>
        <w:t xml:space="preserve">actor_id</w:t>
      </w:r>
      <w:r>
        <w:t xml:space="preserve"> </w:t>
      </w:r>
      <w:r>
        <w:t xml:space="preserve">: renvoi à l’organe (parlement, commission) selon eCH-0294 Actors</w:t>
      </w:r>
    </w:p>
    <w:p>
      <w:pPr>
        <w:pStyle w:val="Compact"/>
        <w:numPr>
          <w:ilvl w:val="0"/>
          <w:numId w:val="1002"/>
        </w:numPr>
      </w:pPr>
      <w:r>
        <w:rPr>
          <w:b/>
          <w:bCs/>
        </w:rPr>
        <w:t xml:space="preserve">datetime_begin</w:t>
      </w:r>
      <w:r>
        <w:t xml:space="preserve"> </w:t>
      </w:r>
      <w:r>
        <w:t xml:space="preserve">: moment de la constatation de la présence</w:t>
      </w:r>
    </w:p>
    <w:bookmarkEnd w:id="232"/>
    <w:bookmarkStart w:id="233" w:name="chiffres-agrégés"/>
    <w:p>
      <w:pPr>
        <w:pStyle w:val="berschrift4"/>
      </w:pPr>
      <w:r>
        <w:t xml:space="preserve">Chiffres agrégés</w:t>
      </w:r>
    </w:p>
    <w:p>
      <w:pPr>
        <w:pStyle w:val="Compact"/>
        <w:numPr>
          <w:ilvl w:val="0"/>
          <w:numId w:val="1003"/>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03"/>
        </w:numPr>
      </w:pPr>
      <w:r>
        <w:rPr>
          <w:b/>
          <w:bCs/>
        </w:rPr>
        <w:t xml:space="preserve">total_present</w:t>
      </w:r>
      <w:r>
        <w:t xml:space="preserve"> </w:t>
      </w:r>
      <w:r>
        <w:t xml:space="preserve">: nombre de membres présents</w:t>
      </w:r>
    </w:p>
    <w:p>
      <w:pPr>
        <w:pStyle w:val="Compact"/>
        <w:numPr>
          <w:ilvl w:val="0"/>
          <w:numId w:val="1003"/>
        </w:numPr>
      </w:pPr>
      <w:r>
        <w:rPr>
          <w:b/>
          <w:bCs/>
        </w:rPr>
        <w:t xml:space="preserve">total_excused</w:t>
      </w:r>
      <w:r>
        <w:t xml:space="preserve"> </w:t>
      </w:r>
      <w:r>
        <w:t xml:space="preserve">: nombre de membres excusés</w:t>
      </w:r>
    </w:p>
    <w:p>
      <w:pPr>
        <w:pStyle w:val="Compact"/>
        <w:numPr>
          <w:ilvl w:val="0"/>
          <w:numId w:val="1003"/>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233"/>
    <w:bookmarkStart w:id="234" w:name="quorum"/>
    <w:p>
      <w:pPr>
        <w:pStyle w:val="berschrift4"/>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234"/>
    <w:bookmarkEnd w:id="235"/>
    <w:bookmarkStart w:id="257" w:name="individualattendance-niveau-individuel-1"/>
    <w:p>
      <w:pPr>
        <w:pStyle w:val="berschrift2"/>
      </w:pPr>
      <w:r>
        <w:t xml:space="preserve">IndividualAttendance (niveau individuel)</w:t>
      </w:r>
    </w:p>
    <w:bookmarkStart w:id="236" w:name="lien"/>
    <w:p>
      <w:pPr>
        <w:pStyle w:val="berschrift4"/>
      </w:pPr>
      <w:r>
        <w:t xml:space="preserve">Lien</w:t>
      </w:r>
    </w:p>
    <w:p>
      <w:pPr>
        <w:pStyle w:val="Compact"/>
        <w:numPr>
          <w:ilvl w:val="0"/>
          <w:numId w:val="1004"/>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04"/>
        </w:numPr>
      </w:pPr>
      <w:r>
        <w:rPr>
          <w:b/>
          <w:bCs/>
        </w:rPr>
        <w:t xml:space="preserve">actor_id</w:t>
      </w:r>
      <w:r>
        <w:t xml:space="preserve"> </w:t>
      </w:r>
      <w:r>
        <w:t xml:space="preserve">: renvoi à la personne selon eCH-0294 Actors</w:t>
      </w:r>
    </w:p>
    <w:bookmarkEnd w:id="236"/>
    <w:bookmarkStart w:id="238" w:name="type-de-présence"/>
    <w:p>
      <w:pPr>
        <w:pStyle w:val="berschrift4"/>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05"/>
        </w:numPr>
      </w:pPr>
      <w:r>
        <w:rPr>
          <w:b/>
          <w:bCs/>
        </w:rPr>
        <w:t xml:space="preserve">present</w:t>
      </w:r>
      <w:r>
        <w:t xml:space="preserve"> </w:t>
      </w:r>
      <w:r>
        <w:t xml:space="preserve">: présent en personne</w:t>
      </w:r>
    </w:p>
    <w:p>
      <w:pPr>
        <w:pStyle w:val="Compact"/>
        <w:numPr>
          <w:ilvl w:val="0"/>
          <w:numId w:val="1005"/>
        </w:numPr>
      </w:pPr>
      <w:r>
        <w:rPr>
          <w:b/>
          <w:bCs/>
        </w:rPr>
        <w:t xml:space="preserve">remote</w:t>
      </w:r>
      <w:r>
        <w:t xml:space="preserve"> </w:t>
      </w:r>
      <w:r>
        <w:t xml:space="preserve">: présent à distance (p. ex. visioconférence)</w:t>
      </w:r>
    </w:p>
    <w:p>
      <w:pPr>
        <w:pStyle w:val="Compact"/>
        <w:numPr>
          <w:ilvl w:val="0"/>
          <w:numId w:val="1005"/>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237">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238"/>
    <w:bookmarkStart w:id="239" w:name="motif"/>
    <w:p>
      <w:pPr>
        <w:pStyle w:val="berschrift4"/>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d’un retard ou d’une suppléance.</w:t>
      </w:r>
    </w:p>
    <w:bookmarkEnd w:id="239"/>
    <w:bookmarkStart w:id="240" w:name="différence-attendance-et-individualvote"/>
    <w:p>
      <w:pPr>
        <w:pStyle w:val="berschrift3"/>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240"/>
    <w:bookmarkStart w:id="241" w:name="utilisations-12"/>
    <w:p>
      <w:pPr>
        <w:pStyle w:val="berschrift3"/>
      </w:pPr>
      <w:r>
        <w:t xml:space="preserve">Utilisations</w:t>
      </w:r>
    </w:p>
    <w:p>
      <w:pPr>
        <w:pStyle w:val="FirstParagraph"/>
      </w:pPr>
      <w:r>
        <w:t xml:space="preserve">Les entités Attendance permettent :</w:t>
      </w:r>
    </w:p>
    <w:p>
      <w:pPr>
        <w:pStyle w:val="Compact"/>
        <w:numPr>
          <w:ilvl w:val="0"/>
          <w:numId w:val="1006"/>
        </w:numPr>
      </w:pPr>
      <w:r>
        <w:rPr>
          <w:b/>
          <w:bCs/>
        </w:rPr>
        <w:t xml:space="preserve">Documentation</w:t>
      </w:r>
      <w:r>
        <w:t xml:space="preserve"> </w:t>
      </w:r>
      <w:r>
        <w:t xml:space="preserve">: saisie traçable de la participation</w:t>
      </w:r>
    </w:p>
    <w:p>
      <w:pPr>
        <w:pStyle w:val="Compact"/>
        <w:numPr>
          <w:ilvl w:val="0"/>
          <w:numId w:val="1006"/>
        </w:numPr>
      </w:pPr>
      <w:r>
        <w:rPr>
          <w:b/>
          <w:bCs/>
        </w:rPr>
        <w:t xml:space="preserve">Vérification du quorum</w:t>
      </w:r>
      <w:r>
        <w:t xml:space="preserve"> </w:t>
      </w:r>
      <w:r>
        <w:t xml:space="preserve">: garantie de la capacité de décision</w:t>
      </w:r>
    </w:p>
    <w:p>
      <w:pPr>
        <w:pStyle w:val="Compact"/>
        <w:numPr>
          <w:ilvl w:val="0"/>
          <w:numId w:val="1006"/>
        </w:numPr>
      </w:pPr>
      <w:r>
        <w:rPr>
          <w:b/>
          <w:bCs/>
        </w:rPr>
        <w:t xml:space="preserve">Transparence</w:t>
      </w:r>
      <w:r>
        <w:t xml:space="preserve"> </w:t>
      </w:r>
      <w:r>
        <w:t xml:space="preserve">: information publique sur la présence</w:t>
      </w:r>
    </w:p>
    <w:p>
      <w:pPr>
        <w:pStyle w:val="Compact"/>
        <w:numPr>
          <w:ilvl w:val="0"/>
          <w:numId w:val="1006"/>
        </w:numPr>
      </w:pPr>
      <w:r>
        <w:rPr>
          <w:b/>
          <w:bCs/>
        </w:rPr>
        <w:t xml:space="preserve">Reddition de comptes</w:t>
      </w:r>
      <w:r>
        <w:t xml:space="preserve"> </w:t>
      </w:r>
      <w:r>
        <w:t xml:space="preserve">: contrôle de l’exécution des obligations</w:t>
      </w:r>
    </w:p>
    <w:p>
      <w:pPr>
        <w:pStyle w:val="Compact"/>
        <w:numPr>
          <w:ilvl w:val="0"/>
          <w:numId w:val="1006"/>
        </w:numPr>
      </w:pPr>
      <w:r>
        <w:rPr>
          <w:b/>
          <w:bCs/>
        </w:rPr>
        <w:t xml:space="preserve">Statistiques</w:t>
      </w:r>
      <w:r>
        <w:t xml:space="preserve"> </w:t>
      </w:r>
      <w:r>
        <w:t xml:space="preserve">: évaluation des taux de présence</w:t>
      </w:r>
    </w:p>
    <w:p>
      <w:pPr>
        <w:pStyle w:val="Compact"/>
        <w:numPr>
          <w:ilvl w:val="0"/>
          <w:numId w:val="1006"/>
        </w:numPr>
      </w:pPr>
      <w:r>
        <w:rPr>
          <w:b/>
          <w:bCs/>
        </w:rPr>
        <w:t xml:space="preserve">Administration</w:t>
      </w:r>
      <w:r>
        <w:t xml:space="preserve"> </w:t>
      </w:r>
      <w:r>
        <w:t xml:space="preserve">: calcul des indemnités et des frais</w:t>
      </w:r>
    </w:p>
    <w:bookmarkEnd w:id="241"/>
    <w:bookmarkStart w:id="245" w:name="classe-attendance"/>
    <w:p>
      <w:pPr>
        <w:pStyle w:val="berschrift3"/>
      </w:pPr>
      <w:r>
        <w:t xml:space="preserve">Classe: Attendance</w:t>
      </w:r>
      <w:r>
        <w:t xml:space="preserve"> </w:t>
      </w:r>
      <w:bookmarkStart w:id="242" w:name="Attendance"/>
      <w:bookmarkEnd w:id="242"/>
    </w:p>
    <w:p>
      <w:pPr>
        <w:pStyle w:val="FirstParagraph"/>
      </w:pPr>
      <w:r>
        <w:rPr>
          <w:i/>
          <w:iCs/>
        </w:rPr>
        <w:t xml:space="preserve">Liste de présence agrégée pour une séance (nombre de membres présents, absents, excusés).</w:t>
      </w:r>
    </w:p>
    <w:bookmarkStart w:id="243" w:name="attributs-1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vote, une élection, une intervention, une liste de présence ou un procès-verbal, la séance au cours de laquelle l’enregistrement est né. Les points de l’ordre du jour ne le portent pas : ils sont imbriqués dans leur séance.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membres absents qui n’ont pas pu participer. La liste de présence (Attendance) indique si une absence était excusée.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43"/>
    <w:bookmarkStart w:id="244" w:name="utilisations-13"/>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244"/>
    <w:bookmarkEnd w:id="245"/>
    <w:bookmarkStart w:id="249" w:name="classe-individualattendance"/>
    <w:p>
      <w:pPr>
        <w:pStyle w:val="berschrift3"/>
      </w:pPr>
      <w:r>
        <w:t xml:space="preserve">Classe: IndividualAttendance</w:t>
      </w:r>
      <w:r>
        <w:t xml:space="preserve"> </w:t>
      </w:r>
      <w:bookmarkStart w:id="246" w:name="IndividualAttendance"/>
      <w:bookmarkEnd w:id="246"/>
    </w:p>
    <w:p>
      <w:pPr>
        <w:pStyle w:val="FirstParagraph"/>
      </w:pPr>
      <w:r>
        <w:rPr>
          <w:i/>
          <w:iCs/>
        </w:rPr>
        <w:t xml:space="preserve">Constatation individuelle de la présence d’une personne à une séance (rattachée à l’agrégat Attendance parent).</w:t>
      </w:r>
    </w:p>
    <w:bookmarkStart w:id="247" w:name="attributs-1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du retard ou de la suppléance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47"/>
    <w:bookmarkStart w:id="248" w:name="utilisations-1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248"/>
    <w:bookmarkEnd w:id="249"/>
    <w:bookmarkStart w:id="256" w:name="enum-attendancetypeenum"/>
    <w:p>
      <w:pPr>
        <w:pStyle w:val="berschrift3"/>
      </w:pPr>
      <w:r>
        <w:t xml:space="preserve">Enum: AttendanceTypeEnum</w:t>
      </w:r>
      <w:r>
        <w:t xml:space="preserve"> </w:t>
      </w:r>
      <w:bookmarkStart w:id="250" w:name="AttendanceTypeEnum"/>
      <w:bookmarkEnd w:id="250"/>
    </w:p>
    <w:p>
      <w:pPr>
        <w:pStyle w:val="FirstParagraph"/>
      </w:pPr>
      <w:r>
        <w:rPr>
          <w:i/>
          <w:iCs/>
        </w:rPr>
        <w:t xml:space="preserve">Type de présence individuelle.</w:t>
      </w:r>
    </w:p>
    <w:p>
      <w:pPr>
        <w:pStyle w:val="Textkrper"/>
      </w:pPr>
      <w:r>
        <w:t xml:space="preserve">URI:</w:t>
      </w:r>
      <w:r>
        <w:t xml:space="preserve"> </w:t>
      </w:r>
      <w:hyperlink ns1:id="rId251">
        <w:r>
          <w:rPr>
            <w:rStyle w:val="Hyperlink"/>
          </w:rPr>
          <w:t xml:space="preserve">ops:AttendanceTypeEnum</w:t>
        </w:r>
      </w:hyperlink>
    </w:p>
    <w:bookmarkStart w:id="255" w:name="valeurs-admissibles-7"/>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252">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253">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254">
              <w:r>
                <w:rPr>
                  <w:rStyle w:val="Hyperlink"/>
                </w:rPr>
                <w:t xml:space="preserve">ops:enum/attendance_type/present</w:t>
              </w:r>
            </w:hyperlink>
          </w:p>
        </w:tc>
      </w:tr>
    </w:tbl>
    <w:bookmarkEnd w:id="255"/>
    <w:p>
      <w:r>
        <w:br w:type="page"/>
      </w:r>
    </w:p>
    <w:bookmarkEnd w:id="256"/>
    <w:bookmarkEnd w:id="257"/>
    <w:bookmarkEnd w:id="258"/>
    <w:bookmarkStart w:id="290" w:name="interventions"/>
    <w:p>
      <w:pPr>
        <w:pStyle w:val="berschrift1"/>
      </w:pPr>
      <w:r>
        <w:t xml:space="preserve">Interventions</w:t>
      </w:r>
    </w:p>
    <w:p>
      <w:pPr>
        <w:pStyle w:val="FirstParagraph"/>
      </w:pPr>
      <w:r>
        <w:t xml:space="preserve">Les interventions consignent le débat parlementaire — qui a pris la parole, quand et sur quel point de l’ordre du jour, avec le texte in extenso et, lorsqu’il existe, l’enregistrement audio ou vidéo.</w:t>
      </w:r>
    </w:p>
    <w:bookmarkStart w:id="289" w:name="speech-intervention-prise-de-parole"/>
    <w:p>
      <w:pPr>
        <w:pStyle w:val="berschrift2"/>
      </w:pPr>
      <w:r>
        <w:t xml:space="preserve">Speech (intervention, prise de parole)</w:t>
      </w:r>
    </w:p>
    <w:bookmarkStart w:id="259" w:name="notion-et-signification-1"/>
    <w:p>
      <w:pPr>
        <w:pStyle w:val="berschrift3"/>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259"/>
    <w:bookmarkStart w:id="264" w:name="types-de-speeches"/>
    <w:p>
      <w:pPr>
        <w:pStyle w:val="berschrift3"/>
      </w:pPr>
      <w:r>
        <w:t xml:space="preserve">Types de Speeches</w:t>
      </w:r>
    </w:p>
    <w:p>
      <w:pPr>
        <w:pStyle w:val="FirstParagraph"/>
      </w:pPr>
      <w:r>
        <w:t xml:space="preserve">Les interventions parlementaires prennent différentes formes :</w:t>
      </w:r>
    </w:p>
    <w:bookmarkStart w:id="260" w:name="interventions-principales"/>
    <w:p>
      <w:pPr>
        <w:pStyle w:val="berschrift4"/>
      </w:pPr>
      <w:r>
        <w:t xml:space="preserve">Interventions principales</w:t>
      </w:r>
    </w:p>
    <w:p>
      <w:pPr>
        <w:pStyle w:val="Compact"/>
        <w:numPr>
          <w:ilvl w:val="0"/>
          <w:numId w:val="1007"/>
        </w:numPr>
      </w:pPr>
      <w:r>
        <w:t xml:space="preserve">Prises de position détaillées sur une affaire</w:t>
      </w:r>
    </w:p>
    <w:p>
      <w:pPr>
        <w:pStyle w:val="Compact"/>
        <w:numPr>
          <w:ilvl w:val="0"/>
          <w:numId w:val="1007"/>
        </w:numPr>
      </w:pPr>
      <w:r>
        <w:t xml:space="preserve">Motivation de propositions</w:t>
      </w:r>
    </w:p>
    <w:p>
      <w:pPr>
        <w:pStyle w:val="Compact"/>
        <w:numPr>
          <w:ilvl w:val="0"/>
          <w:numId w:val="1007"/>
        </w:numPr>
      </w:pPr>
      <w:r>
        <w:t xml:space="preserve">Exposé de la position du groupe</w:t>
      </w:r>
    </w:p>
    <w:bookmarkEnd w:id="260"/>
    <w:bookmarkStart w:id="261" w:name="interventions-brèves"/>
    <w:p>
      <w:pPr>
        <w:pStyle w:val="berschrift4"/>
      </w:pPr>
      <w:r>
        <w:t xml:space="preserve">Interventions brèves</w:t>
      </w:r>
    </w:p>
    <w:p>
      <w:pPr>
        <w:pStyle w:val="Compact"/>
        <w:numPr>
          <w:ilvl w:val="0"/>
          <w:numId w:val="1008"/>
        </w:numPr>
      </w:pPr>
      <w:r>
        <w:t xml:space="preserve">Prises de parole courtes</w:t>
      </w:r>
    </w:p>
    <w:p>
      <w:pPr>
        <w:pStyle w:val="Compact"/>
        <w:numPr>
          <w:ilvl w:val="0"/>
          <w:numId w:val="1008"/>
        </w:numPr>
      </w:pPr>
      <w:r>
        <w:t xml:space="preserve">Questions intercalaires</w:t>
      </w:r>
    </w:p>
    <w:p>
      <w:pPr>
        <w:pStyle w:val="Compact"/>
        <w:numPr>
          <w:ilvl w:val="0"/>
          <w:numId w:val="1008"/>
        </w:numPr>
      </w:pPr>
      <w:r>
        <w:t xml:space="preserve">Rectifications</w:t>
      </w:r>
    </w:p>
    <w:bookmarkEnd w:id="261"/>
    <w:bookmarkStart w:id="262" w:name="déclarations-de-groupe"/>
    <w:p>
      <w:pPr>
        <w:pStyle w:val="berschrift4"/>
      </w:pPr>
      <w:r>
        <w:t xml:space="preserve">Déclarations de groupe</w:t>
      </w:r>
    </w:p>
    <w:p>
      <w:pPr>
        <w:pStyle w:val="Compact"/>
        <w:numPr>
          <w:ilvl w:val="0"/>
          <w:numId w:val="1009"/>
        </w:numPr>
      </w:pPr>
      <w:r>
        <w:t xml:space="preserve">Prise de position officielle d’un groupe</w:t>
      </w:r>
    </w:p>
    <w:p>
      <w:pPr>
        <w:pStyle w:val="Compact"/>
        <w:numPr>
          <w:ilvl w:val="0"/>
          <w:numId w:val="1009"/>
        </w:numPr>
      </w:pPr>
      <w:r>
        <w:t xml:space="preserve">Présentée par la ou le porte-parole du groupe</w:t>
      </w:r>
    </w:p>
    <w:bookmarkEnd w:id="262"/>
    <w:bookmarkStart w:id="263" w:name="interventions-gouvernementales"/>
    <w:p>
      <w:pPr>
        <w:pStyle w:val="berschrift4"/>
      </w:pPr>
      <w:r>
        <w:t xml:space="preserve">Interventions gouvernementales</w:t>
      </w:r>
    </w:p>
    <w:p>
      <w:pPr>
        <w:pStyle w:val="Compact"/>
        <w:numPr>
          <w:ilvl w:val="0"/>
          <w:numId w:val="1010"/>
        </w:numPr>
      </w:pPr>
      <w:r>
        <w:t xml:space="preserve">Prises de position de membres du gouvernement</w:t>
      </w:r>
    </w:p>
    <w:p>
      <w:pPr>
        <w:pStyle w:val="Compact"/>
        <w:numPr>
          <w:ilvl w:val="0"/>
          <w:numId w:val="1010"/>
        </w:numPr>
      </w:pPr>
      <w:r>
        <w:t xml:space="preserve">Réponses aux questions</w:t>
      </w:r>
    </w:p>
    <w:p>
      <w:pPr>
        <w:pStyle w:val="Compact"/>
        <w:numPr>
          <w:ilvl w:val="0"/>
          <w:numId w:val="1010"/>
        </w:numPr>
      </w:pPr>
      <w:r>
        <w:t xml:space="preserve">Défense de projets</w:t>
      </w:r>
    </w:p>
    <w:bookmarkEnd w:id="263"/>
    <w:bookmarkEnd w:id="264"/>
    <w:bookmarkStart w:id="266" w:name="structure-et-rattachement"/>
    <w:p>
      <w:pPr>
        <w:pStyle w:val="berschrift3"/>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265" w:name="champs-de-rattachement"/>
    <w:p>
      <w:pPr>
        <w:pStyle w:val="berschrift4"/>
      </w:pPr>
      <w:r>
        <w:t xml:space="preserve">Champs de rattachement</w:t>
      </w:r>
    </w:p>
    <w:p>
      <w:pPr>
        <w:pStyle w:val="Compact"/>
        <w:numPr>
          <w:ilvl w:val="0"/>
          <w:numId w:val="1011"/>
        </w:numPr>
      </w:pPr>
      <w:r>
        <w:rPr>
          <w:b/>
          <w:bCs/>
        </w:rPr>
        <w:t xml:space="preserve">meeting_id</w:t>
      </w:r>
      <w:r>
        <w:t xml:space="preserve"> </w:t>
      </w:r>
      <w:r>
        <w:t xml:space="preserve">: la séance au cours de laquelle l’intervention a eu lieu</w:t>
      </w:r>
    </w:p>
    <w:p>
      <w:pPr>
        <w:pStyle w:val="Compact"/>
        <w:numPr>
          <w:ilvl w:val="0"/>
          <w:numId w:val="1011"/>
        </w:numPr>
      </w:pPr>
      <w:r>
        <w:rPr>
          <w:b/>
          <w:bCs/>
        </w:rPr>
        <w:t xml:space="preserve">agenda_item_id</w:t>
      </w:r>
      <w:r>
        <w:t xml:space="preserve"> </w:t>
      </w:r>
      <w:r>
        <w:t xml:space="preserve">: le point de l’ordre du jour auquel se rapporte l’intervention</w:t>
      </w:r>
    </w:p>
    <w:p>
      <w:pPr>
        <w:pStyle w:val="Compact"/>
        <w:numPr>
          <w:ilvl w:val="0"/>
          <w:numId w:val="1011"/>
        </w:numPr>
      </w:pPr>
      <w:r>
        <w:rPr>
          <w:b/>
          <w:bCs/>
        </w:rPr>
        <w:t xml:space="preserve">person_id</w:t>
      </w:r>
      <w:r>
        <w:t xml:space="preserve"> </w:t>
      </w:r>
      <w:r>
        <w:t xml:space="preserve">: la personne qui s’exprime (selon eCH-0294 Actors)</w:t>
      </w:r>
    </w:p>
    <w:bookmarkEnd w:id="265"/>
    <w:bookmarkEnd w:id="266"/>
    <w:bookmarkStart w:id="267" w:name="X9ca50a71b8d0f7518b3b24134e269a33f0b90ff"/>
    <w:p>
      <w:pPr>
        <w:pStyle w:val="berschrift3"/>
      </w:pPr>
      <w:r>
        <w:t xml:space="preserve">Identification des personnes qui s’expriment</w:t>
      </w:r>
    </w:p>
    <w:p>
      <w:pPr>
        <w:pStyle w:val="Compact"/>
        <w:numPr>
          <w:ilvl w:val="0"/>
          <w:numId w:val="1012"/>
        </w:numPr>
      </w:pPr>
      <w:r>
        <w:rPr>
          <w:b/>
          <w:bCs/>
        </w:rPr>
        <w:t xml:space="preserve">person_id</w:t>
      </w:r>
      <w:r>
        <w:t xml:space="preserve"> </w:t>
      </w:r>
      <w:r>
        <w:t xml:space="preserve">: identification univoque de la personne</w:t>
      </w:r>
    </w:p>
    <w:p>
      <w:pPr>
        <w:pStyle w:val="Compact"/>
        <w:numPr>
          <w:ilvl w:val="0"/>
          <w:numId w:val="1012"/>
        </w:numPr>
      </w:pPr>
      <w:r>
        <w:rPr>
          <w:b/>
          <w:bCs/>
        </w:rPr>
        <w:t xml:space="preserve">person_name</w:t>
      </w:r>
      <w:r>
        <w:t xml:space="preserve"> </w:t>
      </w:r>
      <w:r>
        <w:t xml:space="preserve">: nom, pour un accès rapide</w:t>
      </w:r>
    </w:p>
    <w:p>
      <w:pPr>
        <w:pStyle w:val="Compact"/>
        <w:numPr>
          <w:ilvl w:val="0"/>
          <w:numId w:val="1012"/>
        </w:numPr>
      </w:pPr>
      <w:r>
        <w:rPr>
          <w:b/>
          <w:bCs/>
        </w:rPr>
        <w:t xml:space="preserve">role</w:t>
      </w:r>
      <w:r>
        <w:t xml:space="preserve"> </w:t>
      </w:r>
      <w:r>
        <w:t xml:space="preserve">: rôle de la personne (p. ex. « présidence de groupe », « rapporteuse ou rapporteur », « conseillère fédérale / conseiller fédéral »)</w:t>
      </w:r>
    </w:p>
    <w:bookmarkEnd w:id="267"/>
    <w:bookmarkStart w:id="268" w:name="saisie-temporelle"/>
    <w:p>
      <w:pPr>
        <w:pStyle w:val="berschrift3"/>
      </w:pPr>
      <w:r>
        <w:t xml:space="preserve">Saisie temporelle</w:t>
      </w:r>
    </w:p>
    <w:p>
      <w:pPr>
        <w:pStyle w:val="Compact"/>
        <w:numPr>
          <w:ilvl w:val="0"/>
          <w:numId w:val="1013"/>
        </w:numPr>
      </w:pPr>
      <w:r>
        <w:rPr>
          <w:b/>
          <w:bCs/>
        </w:rPr>
        <w:t xml:space="preserve">start_time</w:t>
      </w:r>
      <w:r>
        <w:t xml:space="preserve"> </w:t>
      </w:r>
      <w:r>
        <w:t xml:space="preserve">: début de l’intervention</w:t>
      </w:r>
    </w:p>
    <w:p>
      <w:pPr>
        <w:pStyle w:val="Compact"/>
        <w:numPr>
          <w:ilvl w:val="0"/>
          <w:numId w:val="1013"/>
        </w:numPr>
      </w:pPr>
      <w:r>
        <w:rPr>
          <w:b/>
          <w:bCs/>
        </w:rPr>
        <w:t xml:space="preserve">end_time</w:t>
      </w:r>
      <w:r>
        <w:t xml:space="preserve"> </w:t>
      </w:r>
      <w:r>
        <w:t xml:space="preserve">: fin de l’intervention</w:t>
      </w:r>
    </w:p>
    <w:p>
      <w:pPr>
        <w:pStyle w:val="Compact"/>
        <w:numPr>
          <w:ilvl w:val="0"/>
          <w:numId w:val="1013"/>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268"/>
    <w:bookmarkStart w:id="269" w:name="langue-de-lintervention"/>
    <w:p>
      <w:pPr>
        <w:pStyle w:val="berschrift3"/>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14"/>
        </w:numPr>
      </w:pPr>
      <w:r>
        <w:rPr>
          <w:b/>
          <w:bCs/>
        </w:rPr>
        <w:t xml:space="preserve">de</w:t>
      </w:r>
      <w:r>
        <w:t xml:space="preserve"> </w:t>
      </w:r>
      <w:r>
        <w:t xml:space="preserve">: allemand</w:t>
      </w:r>
    </w:p>
    <w:p>
      <w:pPr>
        <w:pStyle w:val="Compact"/>
        <w:numPr>
          <w:ilvl w:val="0"/>
          <w:numId w:val="1014"/>
        </w:numPr>
      </w:pPr>
      <w:r>
        <w:rPr>
          <w:b/>
          <w:bCs/>
        </w:rPr>
        <w:t xml:space="preserve">fr</w:t>
      </w:r>
      <w:r>
        <w:t xml:space="preserve"> </w:t>
      </w:r>
      <w:r>
        <w:t xml:space="preserve">: français</w:t>
      </w:r>
    </w:p>
    <w:p>
      <w:pPr>
        <w:pStyle w:val="Compact"/>
        <w:numPr>
          <w:ilvl w:val="0"/>
          <w:numId w:val="1014"/>
        </w:numPr>
      </w:pPr>
      <w:r>
        <w:rPr>
          <w:b/>
          <w:bCs/>
        </w:rPr>
        <w:t xml:space="preserve">it</w:t>
      </w:r>
      <w:r>
        <w:t xml:space="preserve"> </w:t>
      </w:r>
      <w:r>
        <w:t xml:space="preserve">: italien</w:t>
      </w:r>
    </w:p>
    <w:p>
      <w:pPr>
        <w:pStyle w:val="Compact"/>
        <w:numPr>
          <w:ilvl w:val="0"/>
          <w:numId w:val="1014"/>
        </w:numPr>
      </w:pPr>
      <w:r>
        <w:rPr>
          <w:b/>
          <w:bCs/>
        </w:rPr>
        <w:t xml:space="preserve">rm</w:t>
      </w:r>
      <w:r>
        <w:t xml:space="preserve"> </w:t>
      </w:r>
      <w:r>
        <w:t xml:space="preserve">: romanche</w:t>
      </w:r>
    </w:p>
    <w:p>
      <w:pPr>
        <w:pStyle w:val="Compact"/>
        <w:numPr>
          <w:ilvl w:val="0"/>
          <w:numId w:val="1014"/>
        </w:numPr>
      </w:pPr>
      <w:r>
        <w:rPr>
          <w:b/>
          <w:bCs/>
        </w:rPr>
        <w:t xml:space="preserve">en</w:t>
      </w:r>
      <w:r>
        <w:t xml:space="preserve"> </w:t>
      </w:r>
      <w:r>
        <w:t xml:space="preserve">: anglais</w:t>
      </w:r>
    </w:p>
    <w:bookmarkEnd w:id="269"/>
    <w:bookmarkStart w:id="275" w:name="documents-textuels"/>
    <w:p>
      <w:pPr>
        <w:pStyle w:val="berschrift3"/>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273" w:name="différentes-versions-du-texte"/>
    <w:p>
      <w:pPr>
        <w:pStyle w:val="berschrift4"/>
      </w:pPr>
      <w:r>
        <w:t xml:space="preserve">Différentes versions du texte</w:t>
      </w:r>
    </w:p>
    <w:bookmarkStart w:id="270" w:name="transcription-brute"/>
    <w:p>
      <w:pPr>
        <w:pStyle w:val="berschrift5"/>
      </w:pPr>
      <w:r>
        <w:t xml:space="preserve">Transcription brute</w:t>
      </w:r>
    </w:p>
    <w:p>
      <w:pPr>
        <w:pStyle w:val="Compact"/>
        <w:numPr>
          <w:ilvl w:val="0"/>
          <w:numId w:val="1015"/>
        </w:numPr>
      </w:pPr>
      <w:r>
        <w:t xml:space="preserve">Retranscription littérale</w:t>
      </w:r>
    </w:p>
    <w:p>
      <w:pPr>
        <w:pStyle w:val="Compact"/>
        <w:numPr>
          <w:ilvl w:val="0"/>
          <w:numId w:val="1015"/>
        </w:numPr>
      </w:pPr>
      <w:r>
        <w:t xml:space="preserve">Non remaniée, avec les mots de remplissage</w:t>
      </w:r>
    </w:p>
    <w:p>
      <w:pPr>
        <w:pStyle w:val="Compact"/>
        <w:numPr>
          <w:ilvl w:val="0"/>
          <w:numId w:val="1015"/>
        </w:numPr>
      </w:pPr>
      <w:r>
        <w:t xml:space="preserve">Disponible directement après la séance</w:t>
      </w:r>
    </w:p>
    <w:bookmarkEnd w:id="270"/>
    <w:bookmarkStart w:id="271" w:name="transcription-remaniée"/>
    <w:p>
      <w:pPr>
        <w:pStyle w:val="berschrift5"/>
      </w:pPr>
      <w:r>
        <w:t xml:space="preserve">Transcription remaniée</w:t>
      </w:r>
    </w:p>
    <w:p>
      <w:pPr>
        <w:pStyle w:val="Compact"/>
        <w:numPr>
          <w:ilvl w:val="0"/>
          <w:numId w:val="1016"/>
        </w:numPr>
      </w:pPr>
      <w:r>
        <w:t xml:space="preserve">Revue sur le plan rédactionnel</w:t>
      </w:r>
    </w:p>
    <w:p>
      <w:pPr>
        <w:pStyle w:val="Compact"/>
        <w:numPr>
          <w:ilvl w:val="0"/>
          <w:numId w:val="1016"/>
        </w:numPr>
      </w:pPr>
      <w:r>
        <w:t xml:space="preserve">Corrigée grammaticalement</w:t>
      </w:r>
    </w:p>
    <w:p>
      <w:pPr>
        <w:pStyle w:val="Compact"/>
        <w:numPr>
          <w:ilvl w:val="0"/>
          <w:numId w:val="1016"/>
        </w:numPr>
      </w:pPr>
      <w:r>
        <w:t xml:space="preserve">Version officielle du procès-verbal</w:t>
      </w:r>
    </w:p>
    <w:bookmarkEnd w:id="271"/>
    <w:bookmarkStart w:id="272" w:name="traductions"/>
    <w:p>
      <w:pPr>
        <w:pStyle w:val="berschrift5"/>
      </w:pPr>
      <w:r>
        <w:t xml:space="preserve">Traductions</w:t>
      </w:r>
    </w:p>
    <w:p>
      <w:pPr>
        <w:pStyle w:val="Compact"/>
        <w:numPr>
          <w:ilvl w:val="0"/>
          <w:numId w:val="1017"/>
        </w:numPr>
      </w:pPr>
      <w:r>
        <w:t xml:space="preserve">Dans d’autres langues nationales</w:t>
      </w:r>
    </w:p>
    <w:p>
      <w:pPr>
        <w:pStyle w:val="Compact"/>
        <w:numPr>
          <w:ilvl w:val="0"/>
          <w:numId w:val="1017"/>
        </w:numPr>
      </w:pPr>
      <w:r>
        <w:t xml:space="preserve">Pour les publications internationales</w:t>
      </w:r>
    </w:p>
    <w:bookmarkEnd w:id="272"/>
    <w:bookmarkEnd w:id="273"/>
    <w:bookmarkStart w:id="274" w:name="structure-de-textsegment"/>
    <w:p>
      <w:pPr>
        <w:pStyle w:val="berschrift4"/>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274"/>
    <w:bookmarkEnd w:id="275"/>
    <w:bookmarkStart w:id="279" w:name="enregistrements-multimédias"/>
    <w:p>
      <w:pPr>
        <w:pStyle w:val="berschrift3"/>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276" w:name="enregistrements-audio"/>
    <w:p>
      <w:pPr>
        <w:pStyle w:val="berschrift4"/>
      </w:pPr>
      <w:r>
        <w:t xml:space="preserve">Enregistrements audio</w:t>
      </w:r>
    </w:p>
    <w:p>
      <w:pPr>
        <w:pStyle w:val="Compact"/>
        <w:numPr>
          <w:ilvl w:val="0"/>
          <w:numId w:val="1018"/>
        </w:numPr>
      </w:pPr>
      <w:r>
        <w:t xml:space="preserve">Son original de l’intervention</w:t>
      </w:r>
    </w:p>
    <w:p>
      <w:pPr>
        <w:pStyle w:val="Compact"/>
        <w:numPr>
          <w:ilvl w:val="0"/>
          <w:numId w:val="1018"/>
        </w:numPr>
      </w:pPr>
      <w:r>
        <w:t xml:space="preserve">Format : MP3, WAV, etc.</w:t>
      </w:r>
    </w:p>
    <w:p>
      <w:pPr>
        <w:pStyle w:val="Compact"/>
        <w:numPr>
          <w:ilvl w:val="0"/>
          <w:numId w:val="1018"/>
        </w:numPr>
      </w:pPr>
      <w:r>
        <w:t xml:space="preserve">Métadonnées techniques (qualité, débit binaire)</w:t>
      </w:r>
    </w:p>
    <w:bookmarkEnd w:id="276"/>
    <w:bookmarkStart w:id="277" w:name="enregistrements-vidéo"/>
    <w:p>
      <w:pPr>
        <w:pStyle w:val="berschrift4"/>
      </w:pPr>
      <w:r>
        <w:t xml:space="preserve">Enregistrements vidéo</w:t>
      </w:r>
    </w:p>
    <w:p>
      <w:pPr>
        <w:pStyle w:val="Compact"/>
        <w:numPr>
          <w:ilvl w:val="0"/>
          <w:numId w:val="1019"/>
        </w:numPr>
      </w:pPr>
      <w:r>
        <w:t xml:space="preserve">Enregistrement visuel (lors des séances plénières)</w:t>
      </w:r>
    </w:p>
    <w:p>
      <w:pPr>
        <w:pStyle w:val="Compact"/>
        <w:numPr>
          <w:ilvl w:val="0"/>
          <w:numId w:val="1019"/>
        </w:numPr>
      </w:pPr>
      <w:r>
        <w:t xml:space="preserve">Format : MP4, WebM, etc.</w:t>
      </w:r>
    </w:p>
    <w:p>
      <w:pPr>
        <w:pStyle w:val="Compact"/>
        <w:numPr>
          <w:ilvl w:val="0"/>
          <w:numId w:val="1019"/>
        </w:numPr>
      </w:pPr>
      <w:r>
        <w:t xml:space="preserve">Différentes résolutions</w:t>
      </w:r>
    </w:p>
    <w:bookmarkEnd w:id="277"/>
    <w:bookmarkStart w:id="278" w:name="diffusion-en-direct"/>
    <w:p>
      <w:pPr>
        <w:pStyle w:val="berschrift4"/>
      </w:pPr>
      <w:r>
        <w:t xml:space="preserve">Diffusion en direct</w:t>
      </w:r>
    </w:p>
    <w:p>
      <w:pPr>
        <w:pStyle w:val="Compact"/>
        <w:numPr>
          <w:ilvl w:val="0"/>
          <w:numId w:val="1020"/>
        </w:numPr>
      </w:pPr>
      <w:r>
        <w:t xml:space="preserve">Transmission en temps réel</w:t>
      </w:r>
    </w:p>
    <w:p>
      <w:pPr>
        <w:pStyle w:val="Compact"/>
        <w:numPr>
          <w:ilvl w:val="0"/>
          <w:numId w:val="1020"/>
        </w:numPr>
      </w:pPr>
      <w:r>
        <w:t xml:space="preserve">URL du flux</w:t>
      </w:r>
    </w:p>
    <w:p>
      <w:pPr>
        <w:pStyle w:val="Compact"/>
        <w:numPr>
          <w:ilvl w:val="0"/>
          <w:numId w:val="1020"/>
        </w:numPr>
      </w:pPr>
      <w:r>
        <w:t xml:space="preserve">Archivage après la séance</w:t>
      </w:r>
    </w:p>
    <w:bookmarkEnd w:id="278"/>
    <w:bookmarkEnd w:id="279"/>
    <w:bookmarkStart w:id="280" w:name="titre-et-description"/>
    <w:p>
      <w:pPr>
        <w:pStyle w:val="berschrift3"/>
      </w:pPr>
      <w:r>
        <w:t xml:space="preserve">Titre et description</w:t>
      </w:r>
    </w:p>
    <w:p>
      <w:pPr>
        <w:pStyle w:val="Compact"/>
        <w:numPr>
          <w:ilvl w:val="0"/>
          <w:numId w:val="1021"/>
        </w:numPr>
      </w:pPr>
      <w:r>
        <w:rPr>
          <w:b/>
          <w:bCs/>
        </w:rPr>
        <w:t xml:space="preserve">title</w:t>
      </w:r>
      <w:r>
        <w:t xml:space="preserve"> </w:t>
      </w:r>
      <w:r>
        <w:t xml:space="preserve">: titre court (p. ex. « Intervention sur la politique énergétique »)</w:t>
      </w:r>
    </w:p>
    <w:p>
      <w:pPr>
        <w:pStyle w:val="Compact"/>
        <w:numPr>
          <w:ilvl w:val="0"/>
          <w:numId w:val="1021"/>
        </w:numPr>
      </w:pPr>
      <w:r>
        <w:rPr>
          <w:b/>
          <w:bCs/>
        </w:rPr>
        <w:t xml:space="preserve">description</w:t>
      </w:r>
      <w:r>
        <w:t xml:space="preserve"> </w:t>
      </w:r>
      <w:r>
        <w:t xml:space="preserve">: résumé ou contexte de l’intervention</w:t>
      </w:r>
    </w:p>
    <w:bookmarkEnd w:id="280"/>
    <w:bookmarkStart w:id="281" w:name="type-dintervention"/>
    <w:p>
      <w:pPr>
        <w:pStyle w:val="berschrift3"/>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22"/>
        </w:numPr>
      </w:pPr>
      <w:r>
        <w:rPr>
          <w:b/>
          <w:bCs/>
        </w:rPr>
        <w:t xml:space="preserve">statement</w:t>
      </w:r>
      <w:r>
        <w:t xml:space="preserve"> </w:t>
      </w:r>
      <w:r>
        <w:t xml:space="preserve">: prise de position</w:t>
      </w:r>
    </w:p>
    <w:p>
      <w:pPr>
        <w:pStyle w:val="Compact"/>
        <w:numPr>
          <w:ilvl w:val="0"/>
          <w:numId w:val="1022"/>
        </w:numPr>
      </w:pPr>
      <w:r>
        <w:rPr>
          <w:b/>
          <w:bCs/>
        </w:rPr>
        <w:t xml:space="preserve">question</w:t>
      </w:r>
      <w:r>
        <w:t xml:space="preserve"> </w:t>
      </w:r>
      <w:r>
        <w:t xml:space="preserve">: question</w:t>
      </w:r>
    </w:p>
    <w:p>
      <w:pPr>
        <w:pStyle w:val="Compact"/>
        <w:numPr>
          <w:ilvl w:val="0"/>
          <w:numId w:val="1022"/>
        </w:numPr>
      </w:pPr>
      <w:r>
        <w:rPr>
          <w:b/>
          <w:bCs/>
        </w:rPr>
        <w:t xml:space="preserve">response</w:t>
      </w:r>
      <w:r>
        <w:t xml:space="preserve"> </w:t>
      </w:r>
      <w:r>
        <w:t xml:space="preserve">: réponse (p. ex. du gouvernement à une question)</w:t>
      </w:r>
    </w:p>
    <w:p>
      <w:pPr>
        <w:pStyle w:val="Compact"/>
        <w:numPr>
          <w:ilvl w:val="0"/>
          <w:numId w:val="1022"/>
        </w:numPr>
      </w:pPr>
      <w:r>
        <w:rPr>
          <w:b/>
          <w:bCs/>
        </w:rPr>
        <w:t xml:space="preserve">procedural</w:t>
      </w:r>
      <w:r>
        <w:t xml:space="preserve"> </w:t>
      </w:r>
      <w:r>
        <w:t xml:space="preserve">: proposition d’ordre</w:t>
      </w:r>
    </w:p>
    <w:p>
      <w:pPr>
        <w:pStyle w:val="Compact"/>
        <w:numPr>
          <w:ilvl w:val="0"/>
          <w:numId w:val="1022"/>
        </w:numPr>
      </w:pPr>
      <w:r>
        <w:rPr>
          <w:b/>
          <w:bCs/>
        </w:rPr>
        <w:t xml:space="preserve">declaration</w:t>
      </w:r>
      <w:r>
        <w:t xml:space="preserve"> </w:t>
      </w:r>
      <w:r>
        <w:t xml:space="preserve">: déclaration</w:t>
      </w:r>
    </w:p>
    <w:bookmarkEnd w:id="281"/>
    <w:bookmarkStart w:id="282" w:name="rattachement-à-la-séance"/>
    <w:p>
      <w:pPr>
        <w:pStyle w:val="berschrift3"/>
      </w:pPr>
      <w:r>
        <w:t xml:space="preserve">Rattachement à la séance</w:t>
      </w:r>
    </w:p>
    <w:p>
      <w:pPr>
        <w:pStyle w:val="FirstParagraph"/>
      </w:pPr>
      <w:r>
        <w:rPr>
          <w:rStyle w:val="VerbatimChar"/>
        </w:rPr>
        <w:t xml:space="preserve">parent_meeting</w:t>
      </w:r>
      <w:r>
        <w:t xml:space="preserve"> </w:t>
      </w:r>
      <w:r>
        <w:t xml:space="preserve">et</w:t>
      </w:r>
      <w:r>
        <w:t xml:space="preserve"> </w:t>
      </w:r>
      <w:r>
        <w:rPr>
          <w:rStyle w:val="VerbatimChar"/>
        </w:rPr>
        <w:t xml:space="preserve">parent_agenda_item</w:t>
      </w:r>
      <w:r>
        <w:t xml:space="preserve"> </w:t>
      </w:r>
      <w:r>
        <w:t xml:space="preserve">indiquent au cours de quelle séance et sous quel point de l’ordre du jour une intervention a été prononcée. Les deux sont nécessaires, car une intervention peut être livrée de deux manières : imbriquée dans le procès-verbal, où la séance ressort du</w:t>
      </w:r>
      <w:r>
        <w:t xml:space="preserve"> </w:t>
      </w:r>
      <w:r>
        <w:rPr>
          <w:rStyle w:val="VerbatimChar"/>
        </w:rPr>
        <w:t xml:space="preserve">Protocol</w:t>
      </w:r>
      <w:r>
        <w:t xml:space="preserve"> </w:t>
      </w:r>
      <w:r>
        <w:t xml:space="preserve">environnant mais non le point de l’ordre du jour — ou à plat dans</w:t>
      </w:r>
      <w:r>
        <w:t xml:space="preserve"> </w:t>
      </w:r>
      <w:r>
        <w:rPr>
          <w:rStyle w:val="VerbatimChar"/>
        </w:rPr>
        <w:t xml:space="preserve">Container.speeches</w:t>
      </w:r>
      <w:r>
        <w:t xml:space="preserve">, où tout rattachement ferait défaut sans ces références. Elles portent les mêmes valeurs que pour</w:t>
      </w:r>
      <w:r>
        <w:t xml:space="preserve"> </w:t>
      </w:r>
      <w:r>
        <w:rPr>
          <w:rStyle w:val="VerbatimChar"/>
        </w:rPr>
        <w:t xml:space="preserve">Voting</w:t>
      </w:r>
      <w:r>
        <w:t xml:space="preserve"> </w:t>
      </w:r>
      <w:r>
        <w:t xml:space="preserve">et</w:t>
      </w:r>
      <w:r>
        <w:t xml:space="preserve"> </w:t>
      </w:r>
      <w:r>
        <w:rPr>
          <w:rStyle w:val="VerbatimChar"/>
        </w:rPr>
        <w:t xml:space="preserve">Election</w:t>
      </w:r>
      <w:r>
        <w:t xml:space="preserve"> </w:t>
      </w:r>
      <w:r>
        <w:t xml:space="preserve">et rendent ainsi l’intervention exploitable indépendamment de sa forme de livraison.</w:t>
      </w:r>
    </w:p>
    <w:bookmarkEnd w:id="282"/>
    <w:bookmarkStart w:id="288" w:name="classe-speech"/>
    <w:p>
      <w:pPr>
        <w:pStyle w:val="berschrift3"/>
      </w:pPr>
      <w:r>
        <w:t xml:space="preserve">Classe: Speech</w:t>
      </w:r>
      <w:r>
        <w:t xml:space="preserve"> </w:t>
      </w:r>
      <w:bookmarkStart w:id="283" w:name="Speech"/>
      <w:bookmarkEnd w:id="283"/>
    </w:p>
    <w:p>
      <w:pPr>
        <w:pStyle w:val="FirstParagraph"/>
      </w:pPr>
      <w:r>
        <w:rPr>
          <w:i/>
          <w:iCs/>
        </w:rPr>
        <w:t xml:space="preserve">Une intervention prononcée au cours d’une séance (également appelée prise de parole).</w:t>
      </w:r>
    </w:p>
    <w:bookmarkStart w:id="284" w:name="attributs-1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vote, une élection, une intervention, une liste de présence ou un procès-verbal, la séance au cours de laquelle l’enregistrement est né. Les points de l’ordre du jour ne le portent pas : ils sont imbriqués dans leur séance.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du point de l’ordre du jour auquel cet enregistrement se rattache. Pour un point de l’ordre du jour, il forme une hiérarchie de points — p. ex. un groupe « Délibérations législatives » avec les sous-points « Loi sur l’énergie (discussion par article) » et « Loi sur l’énergie (vote final) » ; pour une intervention, il désigne le point sous lequel elle a été faite.</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84"/>
    <w:bookmarkStart w:id="285" w:name="utilisations-15"/>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285"/>
    <w:bookmarkStart w:id="287" w:name="exemples-8"/>
    <w:p>
      <w:pPr>
        <w:pStyle w:val="berschrift4"/>
      </w:pPr>
      <w:r>
        <w:t xml:space="preserve">Exemples</w:t>
      </w:r>
    </w:p>
    <w:bookmarkStart w:id="286" w:name="Xff442850bf7dfc33843b261d58b36c7ddea1aff"/>
    <w:p>
      <w:pPr>
        <w:pStyle w:val="berschrift5"/>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286"/>
    <w:bookmarkEnd w:id="287"/>
    <w:p>
      <w:r>
        <w:br w:type="page"/>
      </w:r>
    </w:p>
    <w:bookmarkEnd w:id="288"/>
    <w:bookmarkEnd w:id="289"/>
    <w:bookmarkEnd w:id="290"/>
    <w:bookmarkStart w:id="309"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296" w:name="textsegment"/>
    <w:p>
      <w:pPr>
        <w:pStyle w:val="berschrift2"/>
      </w:pPr>
      <w:r>
        <w:t xml:space="preserve">TextSegment</w:t>
      </w:r>
    </w:p>
    <w:bookmarkStart w:id="291" w:name="but"/>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291"/>
    <w:bookmarkStart w:id="292" w:name="structure"/>
    <w:p>
      <w:pPr>
        <w:pStyle w:val="berschrift3"/>
      </w:pPr>
      <w:r>
        <w:t xml:space="preserve">Structure</w:t>
      </w:r>
    </w:p>
    <w:p>
      <w:pPr>
        <w:pStyle w:val="Compact"/>
        <w:numPr>
          <w:ilvl w:val="0"/>
          <w:numId w:val="1023"/>
        </w:numPr>
      </w:pPr>
      <w:r>
        <w:rPr>
          <w:b/>
          <w:bCs/>
        </w:rPr>
        <w:t xml:space="preserve">text</w:t>
      </w:r>
      <w:r>
        <w:t xml:space="preserve"> </w:t>
      </w:r>
      <w:r>
        <w:t xml:space="preserve">: le contenu textuel proprement dit</w:t>
      </w:r>
    </w:p>
    <w:p>
      <w:pPr>
        <w:pStyle w:val="Compact"/>
        <w:numPr>
          <w:ilvl w:val="0"/>
          <w:numId w:val="1023"/>
        </w:numPr>
      </w:pPr>
      <w:r>
        <w:rPr>
          <w:b/>
          <w:bCs/>
        </w:rPr>
        <w:t xml:space="preserve">language</w:t>
      </w:r>
      <w:r>
        <w:t xml:space="preserve"> </w:t>
      </w:r>
      <w:r>
        <w:t xml:space="preserve">: code de langue (ISO 639-1)</w:t>
      </w:r>
    </w:p>
    <w:p>
      <w:pPr>
        <w:pStyle w:val="Compact"/>
        <w:numPr>
          <w:ilvl w:val="0"/>
          <w:numId w:val="1023"/>
        </w:numPr>
      </w:pPr>
      <w:r>
        <w:rPr>
          <w:b/>
          <w:bCs/>
        </w:rPr>
        <w:t xml:space="preserve">format</w:t>
      </w:r>
      <w:r>
        <w:t xml:space="preserve"> </w:t>
      </w:r>
      <w:r>
        <w:t xml:space="preserve">: format du texte (plain, markdown, html)</w:t>
      </w:r>
    </w:p>
    <w:p>
      <w:pPr>
        <w:pStyle w:val="Compact"/>
        <w:numPr>
          <w:ilvl w:val="0"/>
          <w:numId w:val="1023"/>
        </w:numPr>
      </w:pPr>
      <w:r>
        <w:rPr>
          <w:b/>
          <w:bCs/>
        </w:rPr>
        <w:t xml:space="preserve">version_type</w:t>
      </w:r>
      <w:r>
        <w:t xml:space="preserve"> </w:t>
      </w:r>
      <w:r>
        <w:t xml:space="preserve">: type de version</w:t>
      </w:r>
    </w:p>
    <w:p>
      <w:pPr>
        <w:pStyle w:val="Compact"/>
        <w:numPr>
          <w:ilvl w:val="1"/>
          <w:numId w:val="1024"/>
        </w:numPr>
      </w:pPr>
      <w:r>
        <w:rPr>
          <w:b/>
          <w:bCs/>
        </w:rPr>
        <w:t xml:space="preserve">raw</w:t>
      </w:r>
      <w:r>
        <w:t xml:space="preserve"> </w:t>
      </w:r>
      <w:r>
        <w:t xml:space="preserve">: transcription brute non remaniée</w:t>
      </w:r>
    </w:p>
    <w:p>
      <w:pPr>
        <w:pStyle w:val="Compact"/>
        <w:numPr>
          <w:ilvl w:val="1"/>
          <w:numId w:val="1024"/>
        </w:numPr>
      </w:pPr>
      <w:r>
        <w:rPr>
          <w:b/>
          <w:bCs/>
        </w:rPr>
        <w:t xml:space="preserve">edited</w:t>
      </w:r>
      <w:r>
        <w:t xml:space="preserve"> </w:t>
      </w:r>
      <w:r>
        <w:t xml:space="preserve">: version remaniée sur le plan rédactionnel</w:t>
      </w:r>
    </w:p>
    <w:p>
      <w:pPr>
        <w:pStyle w:val="Compact"/>
        <w:numPr>
          <w:ilvl w:val="1"/>
          <w:numId w:val="1024"/>
        </w:numPr>
      </w:pPr>
      <w:r>
        <w:rPr>
          <w:b/>
          <w:bCs/>
        </w:rPr>
        <w:t xml:space="preserve">translated</w:t>
      </w:r>
      <w:r>
        <w:t xml:space="preserve"> </w:t>
      </w:r>
      <w:r>
        <w:t xml:space="preserve">: traduction dans une autre langue</w:t>
      </w:r>
    </w:p>
    <w:p>
      <w:pPr>
        <w:pStyle w:val="Compact"/>
        <w:numPr>
          <w:ilvl w:val="1"/>
          <w:numId w:val="1024"/>
        </w:numPr>
      </w:pPr>
      <w:r>
        <w:rPr>
          <w:b/>
          <w:bCs/>
        </w:rPr>
        <w:t xml:space="preserve">summary</w:t>
      </w:r>
      <w:r>
        <w:t xml:space="preserve"> </w:t>
      </w:r>
      <w:r>
        <w:t xml:space="preserve">: résumé</w:t>
      </w:r>
    </w:p>
    <w:bookmarkEnd w:id="292"/>
    <w:bookmarkStart w:id="293" w:name="décision-de-conception"/>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293"/>
    <w:bookmarkStart w:id="294" w:name="application"/>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294"/>
    <w:bookmarkStart w:id="295" w:name="porteurs-dun-segment-de-texte"/>
    <w:p>
      <w:pPr>
        <w:pStyle w:val="berschrift3"/>
      </w:pPr>
      <w:r>
        <w:t xml:space="preserve">Porteurs d’un segment de texte</w:t>
      </w:r>
    </w:p>
    <w:p>
      <w:pPr>
        <w:pStyle w:val="FirstParagraph"/>
      </w:pPr>
      <w:r>
        <w:t xml:space="preserve">Les segments de texte ne se rattachent pas uniquement au procès-verbal in extenso :</w:t>
      </w:r>
      <w:r>
        <w:t xml:space="preserve"> </w:t>
      </w:r>
      <w:r>
        <w:rPr>
          <w:rStyle w:val="VerbatimChar"/>
        </w:rPr>
        <w:t xml:space="preserve">Protocol</w:t>
      </w:r>
      <w:r>
        <w:t xml:space="preserve"> </w:t>
      </w:r>
      <w:r>
        <w:t xml:space="preserve">les porte pour le texte intégral de toute la séance, et</w:t>
      </w:r>
      <w:r>
        <w:t xml:space="preserve"> </w:t>
      </w:r>
      <w:r>
        <w:rPr>
          <w:rStyle w:val="VerbatimChar"/>
        </w:rPr>
        <w:t xml:space="preserve">AgendaItem</w:t>
      </w:r>
      <w:r>
        <w:t xml:space="preserve"> </w:t>
      </w:r>
      <w:r>
        <w:t xml:space="preserve">— respectivement le</w:t>
      </w:r>
      <w:r>
        <w:t xml:space="preserve"> </w:t>
      </w:r>
      <w:r>
        <w:rPr>
          <w:rStyle w:val="VerbatimChar"/>
        </w:rPr>
        <w:t xml:space="preserve">ProtocolItem</w:t>
      </w:r>
      <w:r>
        <w:t xml:space="preserve"> </w:t>
      </w:r>
      <w:r>
        <w:t xml:space="preserve">consigné — pour un texte se rapportant à un seul point de l’ordre du jour, par exemple un intertitre, un renvoi ou une motivation publiée déjà avec l’ordre du jour. Comme les deux classes portent le mixin</w:t>
      </w:r>
      <w:r>
        <w:t xml:space="preserve"> </w:t>
      </w:r>
      <w:r>
        <w:rPr>
          <w:rStyle w:val="VerbatimChar"/>
        </w:rPr>
        <w:t xml:space="preserve">IsAgendaItem</w:t>
      </w:r>
      <w:r>
        <w:t xml:space="preserve">,</w:t>
      </w:r>
      <w:r>
        <w:t xml:space="preserve"> </w:t>
      </w:r>
      <w:r>
        <w:rPr>
          <w:rStyle w:val="VerbatimChar"/>
        </w:rPr>
        <w:t xml:space="preserve">text_segments</w:t>
      </w:r>
      <w:r>
        <w:t xml:space="preserve"> </w:t>
      </w:r>
      <w:r>
        <w:t xml:space="preserve">est disponible aussi bien du côté planifié que du côté consigné. L’intervention isolée, en revanche, porte son texte directement dans</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et</w:t>
      </w:r>
      <w:r>
        <w:t xml:space="preserve"> </w:t>
      </w:r>
      <w:r>
        <w:rPr>
          <w:rStyle w:val="VerbatimChar"/>
        </w:rPr>
        <w:t xml:space="preserve">text_type</w:t>
      </w:r>
      <w:r>
        <w:t xml:space="preserve">.</w:t>
      </w:r>
    </w:p>
    <w:bookmarkEnd w:id="295"/>
    <w:bookmarkEnd w:id="296"/>
    <w:bookmarkStart w:id="308" w:name="media"/>
    <w:p>
      <w:pPr>
        <w:pStyle w:val="berschrift2"/>
      </w:pPr>
      <w:r>
        <w:t xml:space="preserve">Media</w:t>
      </w:r>
    </w:p>
    <w:bookmarkStart w:id="297" w:name="but-1"/>
    <w:p>
      <w:pPr>
        <w:pStyle w:val="berschrift3"/>
      </w:pPr>
      <w:r>
        <w:t xml:space="preserve">But</w:t>
      </w:r>
    </w:p>
    <w:p>
      <w:pPr>
        <w:pStyle w:val="FirstParagraph"/>
      </w:pPr>
      <w:r>
        <w:t xml:space="preserve">Référence des fichiers médias (audio, vidéo, documents) se rapportant aux activités parlementaires.</w:t>
      </w:r>
    </w:p>
    <w:bookmarkEnd w:id="297"/>
    <w:bookmarkStart w:id="298" w:name="structure-1"/>
    <w:p>
      <w:pPr>
        <w:pStyle w:val="berschrift3"/>
      </w:pPr>
      <w:r>
        <w:t xml:space="preserve">Structure</w:t>
      </w:r>
    </w:p>
    <w:p>
      <w:pPr>
        <w:pStyle w:val="Compact"/>
        <w:numPr>
          <w:ilvl w:val="0"/>
          <w:numId w:val="1025"/>
        </w:numPr>
      </w:pPr>
      <w:r>
        <w:rPr>
          <w:b/>
          <w:bCs/>
        </w:rPr>
        <w:t xml:space="preserve">media_type</w:t>
      </w:r>
      <w:r>
        <w:t xml:space="preserve"> </w:t>
      </w:r>
      <w:r>
        <w:t xml:space="preserve">: type du fichier média</w:t>
      </w:r>
    </w:p>
    <w:p>
      <w:pPr>
        <w:pStyle w:val="Compact"/>
        <w:numPr>
          <w:ilvl w:val="1"/>
          <w:numId w:val="1026"/>
        </w:numPr>
      </w:pPr>
      <w:r>
        <w:rPr>
          <w:b/>
          <w:bCs/>
        </w:rPr>
        <w:t xml:space="preserve">audio</w:t>
      </w:r>
      <w:r>
        <w:t xml:space="preserve"> </w:t>
      </w:r>
      <w:r>
        <w:t xml:space="preserve">: enregistrement audio</w:t>
      </w:r>
    </w:p>
    <w:p>
      <w:pPr>
        <w:pStyle w:val="Compact"/>
        <w:numPr>
          <w:ilvl w:val="1"/>
          <w:numId w:val="1026"/>
        </w:numPr>
      </w:pPr>
      <w:r>
        <w:rPr>
          <w:b/>
          <w:bCs/>
        </w:rPr>
        <w:t xml:space="preserve">video</w:t>
      </w:r>
      <w:r>
        <w:t xml:space="preserve"> </w:t>
      </w:r>
      <w:r>
        <w:t xml:space="preserve">: enregistrement vidéo</w:t>
      </w:r>
    </w:p>
    <w:p>
      <w:pPr>
        <w:pStyle w:val="Compact"/>
        <w:numPr>
          <w:ilvl w:val="1"/>
          <w:numId w:val="1026"/>
        </w:numPr>
      </w:pPr>
      <w:r>
        <w:rPr>
          <w:b/>
          <w:bCs/>
        </w:rPr>
        <w:t xml:space="preserve">document</w:t>
      </w:r>
      <w:r>
        <w:t xml:space="preserve"> </w:t>
      </w:r>
      <w:r>
        <w:t xml:space="preserve">: documents (PDF, etc.)</w:t>
      </w:r>
    </w:p>
    <w:p>
      <w:pPr>
        <w:pStyle w:val="Compact"/>
        <w:numPr>
          <w:ilvl w:val="1"/>
          <w:numId w:val="1026"/>
        </w:numPr>
      </w:pPr>
      <w:r>
        <w:rPr>
          <w:b/>
          <w:bCs/>
        </w:rPr>
        <w:t xml:space="preserve">image</w:t>
      </w:r>
      <w:r>
        <w:t xml:space="preserve"> </w:t>
      </w:r>
      <w:r>
        <w:t xml:space="preserve">: images</w:t>
      </w:r>
    </w:p>
    <w:p>
      <w:pPr>
        <w:pStyle w:val="Compact"/>
        <w:numPr>
          <w:ilvl w:val="0"/>
          <w:numId w:val="1025"/>
        </w:numPr>
      </w:pPr>
      <w:r>
        <w:rPr>
          <w:b/>
          <w:bCs/>
        </w:rPr>
        <w:t xml:space="preserve">url</w:t>
      </w:r>
      <w:r>
        <w:t xml:space="preserve"> </w:t>
      </w:r>
      <w:r>
        <w:t xml:space="preserve">: URL du fichier média</w:t>
      </w:r>
    </w:p>
    <w:p>
      <w:pPr>
        <w:pStyle w:val="Compact"/>
        <w:numPr>
          <w:ilvl w:val="0"/>
          <w:numId w:val="1025"/>
        </w:numPr>
      </w:pPr>
      <w:r>
        <w:rPr>
          <w:b/>
          <w:bCs/>
        </w:rPr>
        <w:t xml:space="preserve">mime_type</w:t>
      </w:r>
      <w:r>
        <w:t xml:space="preserve"> </w:t>
      </w:r>
      <w:r>
        <w:t xml:space="preserve">: type MIME (audio/mp3, video/mp4, application/pdf, etc.)</w:t>
      </w:r>
    </w:p>
    <w:p>
      <w:pPr>
        <w:pStyle w:val="Compact"/>
        <w:numPr>
          <w:ilvl w:val="0"/>
          <w:numId w:val="1025"/>
        </w:numPr>
      </w:pPr>
      <w:r>
        <w:rPr>
          <w:b/>
          <w:bCs/>
        </w:rPr>
        <w:t xml:space="preserve">title</w:t>
      </w:r>
      <w:r>
        <w:t xml:space="preserve"> </w:t>
      </w:r>
      <w:r>
        <w:t xml:space="preserve">: titre du fichier média</w:t>
      </w:r>
    </w:p>
    <w:p>
      <w:pPr>
        <w:pStyle w:val="Compact"/>
        <w:numPr>
          <w:ilvl w:val="0"/>
          <w:numId w:val="1025"/>
        </w:numPr>
      </w:pPr>
      <w:r>
        <w:rPr>
          <w:b/>
          <w:bCs/>
        </w:rPr>
        <w:t xml:space="preserve">description</w:t>
      </w:r>
      <w:r>
        <w:t xml:space="preserve"> </w:t>
      </w:r>
      <w:r>
        <w:t xml:space="preserve">: description</w:t>
      </w:r>
    </w:p>
    <w:p>
      <w:pPr>
        <w:pStyle w:val="Compact"/>
        <w:numPr>
          <w:ilvl w:val="0"/>
          <w:numId w:val="1025"/>
        </w:numPr>
      </w:pPr>
      <w:r>
        <w:rPr>
          <w:b/>
          <w:bCs/>
        </w:rPr>
        <w:t xml:space="preserve">language</w:t>
      </w:r>
      <w:r>
        <w:t xml:space="preserve"> </w:t>
      </w:r>
      <w:r>
        <w:t xml:space="preserve">: langue (pour les médias fondés sur la langue)</w:t>
      </w:r>
    </w:p>
    <w:p>
      <w:pPr>
        <w:pStyle w:val="Compact"/>
        <w:numPr>
          <w:ilvl w:val="0"/>
          <w:numId w:val="1025"/>
        </w:numPr>
      </w:pPr>
      <w:r>
        <w:rPr>
          <w:b/>
          <w:bCs/>
        </w:rPr>
        <w:t xml:space="preserve">duration</w:t>
      </w:r>
      <w:r>
        <w:t xml:space="preserve"> </w:t>
      </w:r>
      <w:r>
        <w:t xml:space="preserve">: durée (pour l’audio et la vidéo, en secondes)</w:t>
      </w:r>
    </w:p>
    <w:p>
      <w:pPr>
        <w:pStyle w:val="Compact"/>
        <w:numPr>
          <w:ilvl w:val="0"/>
          <w:numId w:val="1025"/>
        </w:numPr>
      </w:pPr>
      <w:r>
        <w:rPr>
          <w:b/>
          <w:bCs/>
        </w:rPr>
        <w:t xml:space="preserve">file_size</w:t>
      </w:r>
      <w:r>
        <w:t xml:space="preserve"> </w:t>
      </w:r>
      <w:r>
        <w:t xml:space="preserve">: taille du fichier en octets</w:t>
      </w:r>
    </w:p>
    <w:p>
      <w:pPr>
        <w:pStyle w:val="Compact"/>
        <w:numPr>
          <w:ilvl w:val="0"/>
          <w:numId w:val="1025"/>
        </w:numPr>
      </w:pPr>
      <w:r>
        <w:rPr>
          <w:b/>
          <w:bCs/>
        </w:rPr>
        <w:t xml:space="preserve">quality</w:t>
      </w:r>
      <w:r>
        <w:t xml:space="preserve"> </w:t>
      </w:r>
      <w:r>
        <w:t xml:space="preserve">: indication de qualité (p. ex. « 720p », « high », « low »)</w:t>
      </w:r>
    </w:p>
    <w:bookmarkEnd w:id="298"/>
    <w:bookmarkStart w:id="299" w:name="décision-de-conception-1"/>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299"/>
    <w:bookmarkStart w:id="300" w:name="application-1"/>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300"/>
    <w:bookmarkStart w:id="304" w:name="classe-textsegment"/>
    <w:p>
      <w:pPr>
        <w:pStyle w:val="berschrift3"/>
      </w:pPr>
      <w:r>
        <w:t xml:space="preserve">Classe: TextSegment</w:t>
      </w:r>
      <w:r>
        <w:t xml:space="preserve"> </w:t>
      </w:r>
      <w:bookmarkStart w:id="301" w:name="TextSegment"/>
      <w:bookmarkEnd w:id="301"/>
    </w:p>
    <w:p>
      <w:pPr>
        <w:pStyle w:val="FirstParagraph"/>
      </w:pPr>
      <w:r>
        <w:rPr>
          <w:i/>
          <w:iCs/>
        </w:rPr>
        <w:t xml:space="preserve">Un segment de texte tel qu’un renvoi ou un intertitre. Les segments de texte sont portés par le procès-verbal, par une intervention ou par un point de l’ordre du jour (AgendaItem planifié ou ProtocolItem consigné).</w:t>
      </w:r>
    </w:p>
    <w:bookmarkStart w:id="302" w:name="attributs-1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302"/>
    <w:bookmarkStart w:id="303" w:name="utilisations-1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303"/>
    <w:bookmarkEnd w:id="304"/>
    <w:bookmarkStart w:id="307" w:name="classe-media"/>
    <w:p>
      <w:pPr>
        <w:pStyle w:val="berschrift3"/>
      </w:pPr>
      <w:r>
        <w:t xml:space="preserve">Classe: Media</w:t>
      </w:r>
      <w:r>
        <w:t xml:space="preserve"> </w:t>
      </w:r>
      <w:bookmarkStart w:id="305" w:name="Media"/>
      <w:bookmarkEnd w:id="305"/>
    </w:p>
    <w:p>
      <w:pPr>
        <w:pStyle w:val="FirstParagraph"/>
      </w:pPr>
      <w:r>
        <w:rPr>
          <w:i/>
          <w:iCs/>
        </w:rPr>
        <w:t xml:space="preserve">Fichiers médias ou documents (y compris les procès-verbaux en PDF/HTML/WORD ou les liens vers des contenus audio/vidéo).</w:t>
      </w:r>
    </w:p>
    <w:bookmarkStart w:id="306" w:name="attributs-1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306"/>
    <w:p>
      <w:r>
        <w:br w:type="page"/>
      </w:r>
    </w:p>
    <w:bookmarkEnd w:id="307"/>
    <w:bookmarkEnd w:id="308"/>
    <w:bookmarkEnd w:id="309"/>
    <w:bookmarkStart w:id="339" w:name="éléments-partagés"/>
    <w:p>
      <w:pPr>
        <w:pStyle w:val="berschrift1"/>
      </w:pPr>
      <w:r>
        <w:t xml:space="preserve">Éléments partagés</w:t>
      </w:r>
    </w:p>
    <w:bookmarkStart w:id="320"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27"/>
        </w:numPr>
      </w:pPr>
      <w:r>
        <w:rPr>
          <w:b/>
          <w:bCs/>
        </w:rPr>
        <w:t xml:space="preserve">Des données locales utiles</w:t>
      </w:r>
      <w:r>
        <w:t xml:space="preserve"> </w:t>
      </w:r>
      <w:r>
        <w:t xml:space="preserve">sans interrogation coûteuse de l’entité complète</w:t>
      </w:r>
    </w:p>
    <w:p>
      <w:pPr>
        <w:pStyle w:val="Compact"/>
        <w:numPr>
          <w:ilvl w:val="0"/>
          <w:numId w:val="1027"/>
        </w:numPr>
      </w:pPr>
      <w:r>
        <w:rPr>
          <w:b/>
          <w:bCs/>
        </w:rPr>
        <w:t xml:space="preserve">Pas de redondance</w:t>
      </w:r>
      <w:r>
        <w:t xml:space="preserve">, puisque toutes les indications ne doivent pas être répétées à chaque mention</w:t>
      </w:r>
    </w:p>
    <w:p>
      <w:pPr>
        <w:pStyle w:val="Compact"/>
        <w:numPr>
          <w:ilvl w:val="0"/>
          <w:numId w:val="1027"/>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Start w:id="314" w:name="classe-personreference"/>
    <w:p>
      <w:pPr>
        <w:pStyle w:val="berschrift3"/>
      </w:pPr>
      <w:r>
        <w:t xml:space="preserve">Classe: PersonReference</w:t>
      </w:r>
      <w:r>
        <w:t xml:space="preserve"> </w:t>
      </w:r>
      <w:bookmarkStart w:id="310" w:name="PersonReference"/>
      <w:bookmarkEnd w:id="310"/>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312" w:name="attributs-1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311" w:name="contraintes"/>
    <w:p>
      <w:pPr>
        <w:pStyle w:val="berschrift6"/>
      </w:pPr>
      <w:r>
        <w:t xml:space="preserve">Contraintes</w:t>
      </w:r>
    </w:p>
    <w:p>
      <w:pPr>
        <w:pStyle w:val="FirstParagraph"/>
      </w:pPr>
      <w:r>
        <w:t xml:space="preserve">Au moins l’un des champs suivants doit être renseigné :</w:t>
      </w:r>
    </w:p>
    <w:p>
      <w:pPr>
        <w:pStyle w:val="Compact"/>
        <w:numPr>
          <w:ilvl w:val="0"/>
          <w:numId w:val="1028"/>
        </w:numPr>
      </w:pPr>
      <w:r>
        <w:t xml:space="preserve">local_id</w:t>
      </w:r>
    </w:p>
    <w:p>
      <w:pPr>
        <w:pStyle w:val="Compact"/>
        <w:numPr>
          <w:ilvl w:val="0"/>
          <w:numId w:val="1028"/>
        </w:numPr>
      </w:pPr>
      <w:r>
        <w:t xml:space="preserve">global_uri</w:t>
      </w:r>
    </w:p>
    <w:bookmarkEnd w:id="311"/>
    <w:bookmarkEnd w:id="312"/>
    <w:bookmarkStart w:id="313" w:name="utilisations-1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313"/>
    <w:bookmarkEnd w:id="314"/>
    <w:bookmarkStart w:id="319" w:name="classe-groupreference"/>
    <w:p>
      <w:pPr>
        <w:pStyle w:val="berschrift3"/>
      </w:pPr>
      <w:r>
        <w:t xml:space="preserve">Classe: GroupReference</w:t>
      </w:r>
      <w:r>
        <w:t xml:space="preserve"> </w:t>
      </w:r>
      <w:bookmarkStart w:id="315" w:name="GroupReference"/>
      <w:bookmarkEnd w:id="315"/>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317" w:name="attributs-2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316" w:name="contraintes-1"/>
    <w:p>
      <w:pPr>
        <w:pStyle w:val="berschrift6"/>
      </w:pPr>
      <w:r>
        <w:t xml:space="preserve">Contraintes</w:t>
      </w:r>
    </w:p>
    <w:p>
      <w:pPr>
        <w:pStyle w:val="FirstParagraph"/>
      </w:pPr>
      <w:r>
        <w:t xml:space="preserve">Au moins l’un des champs suivants doit être renseigné :</w:t>
      </w:r>
    </w:p>
    <w:p>
      <w:pPr>
        <w:pStyle w:val="Compact"/>
        <w:numPr>
          <w:ilvl w:val="0"/>
          <w:numId w:val="1029"/>
        </w:numPr>
      </w:pPr>
      <w:r>
        <w:t xml:space="preserve">local_id</w:t>
      </w:r>
    </w:p>
    <w:p>
      <w:pPr>
        <w:pStyle w:val="Compact"/>
        <w:numPr>
          <w:ilvl w:val="0"/>
          <w:numId w:val="1029"/>
        </w:numPr>
      </w:pPr>
      <w:r>
        <w:t xml:space="preserve">global_uri</w:t>
      </w:r>
    </w:p>
    <w:bookmarkEnd w:id="316"/>
    <w:bookmarkEnd w:id="317"/>
    <w:bookmarkStart w:id="318" w:name="utilisations-1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318"/>
    <w:bookmarkEnd w:id="319"/>
    <w:bookmarkEnd w:id="320"/>
    <w:bookmarkStart w:id="325" w:name="textes-multilingues"/>
    <w:p>
      <w:pPr>
        <w:pStyle w:val="berschrift2"/>
      </w:pPr>
      <w:r>
        <w:t xml:space="preserve">Textes multilingues</w:t>
      </w:r>
    </w:p>
    <w:p>
      <w:pPr>
        <w:pStyle w:val="FirstParagraph"/>
      </w:pPr>
      <w:r>
        <w:t xml:space="preserve">En Suisse, les désignations, titres et descriptions existent souvent en plusieurs langues. Plutôt que de tenir un champ distinct par langue, un slot de type</w:t>
      </w:r>
      <w:r>
        <w:t xml:space="preserve"> </w:t>
      </w:r>
      <w:r>
        <w:rPr>
          <w:rStyle w:val="VerbatimChar"/>
        </w:rPr>
        <w:t xml:space="preserve">MultilingualString</w:t>
      </w:r>
      <w:r>
        <w:t xml:space="preserve"> </w:t>
      </w:r>
      <w:r>
        <w:t xml:space="preserve">reprend une liste d’entrées comportant</w:t>
      </w:r>
      <w:r>
        <w:t xml:space="preserve"> </w:t>
      </w:r>
      <w:r>
        <w:rPr>
          <w:rStyle w:val="VerbatimChar"/>
        </w:rPr>
        <w:t xml:space="preserve">text</w:t>
      </w:r>
      <w:r>
        <w:t xml:space="preserve"> </w:t>
      </w:r>
      <w:r>
        <w:t xml:space="preserve">et</w:t>
      </w:r>
      <w:r>
        <w:t xml:space="preserve"> </w:t>
      </w:r>
      <w:r>
        <w:rPr>
          <w:rStyle w:val="VerbatimChar"/>
        </w:rPr>
        <w:t xml:space="preserve">language</w:t>
      </w:r>
      <w:r>
        <w:t xml:space="preserve">. Qui ne tient qu’une seule langue livre une entrée unique — la langue doit être indiquée là aussi. Les liens sont modélisés de la même manière : de nombreux systèmes d’information parlementaire tiennent une adresse propre par langue, raison pour laquelle</w:t>
      </w:r>
      <w:r>
        <w:t xml:space="preserve"> </w:t>
      </w:r>
      <w:r>
        <w:rPr>
          <w:rStyle w:val="VerbatimChar"/>
        </w:rPr>
        <w:t xml:space="preserve">url</w:t>
      </w:r>
      <w:r>
        <w:t xml:space="preserve"> </w:t>
      </w:r>
      <w:r>
        <w:t xml:space="preserve">est également multilingue.</w:t>
      </w:r>
    </w:p>
    <w:bookmarkStart w:id="324" w:name="classe-multilingualstring"/>
    <w:p>
      <w:pPr>
        <w:pStyle w:val="berschrift3"/>
      </w:pPr>
      <w:r>
        <w:t xml:space="preserve">Classe: MultilingualString</w:t>
      </w:r>
      <w:r>
        <w:t xml:space="preserve"> </w:t>
      </w:r>
      <w:bookmarkStart w:id="321" w:name="MultilingualString"/>
      <w:bookmarkEnd w:id="321"/>
    </w:p>
    <w:p>
      <w:pPr>
        <w:pStyle w:val="FirstParagraph"/>
      </w:pPr>
      <w:r>
        <w:rPr>
          <w:i/>
          <w:iCs/>
        </w:rPr>
        <w:t xml:space="preserve">Une chaîne de caractères pouvant contenir du texte en plusieurs langues.</w:t>
      </w:r>
    </w:p>
    <w:bookmarkStart w:id="322" w:name="attributs-2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322"/>
    <w:bookmarkStart w:id="323" w:name="utilisations-1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323"/>
    <w:bookmarkEnd w:id="324"/>
    <w:bookmarkEnd w:id="325"/>
    <w:bookmarkStart w:id="338"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Start w:id="329" w:name="classe-hasidentification"/>
    <w:p>
      <w:pPr>
        <w:pStyle w:val="berschrift3"/>
      </w:pPr>
      <w:r>
        <w:t xml:space="preserve">Classe: HasIdentification</w:t>
      </w:r>
      <w:r>
        <w:t xml:space="preserve"> </w:t>
      </w:r>
      <w:bookmarkStart w:id="326" w:name="HasIdentification"/>
      <w:bookmarkEnd w:id="326"/>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327" w:name="attributs-2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327"/>
    <w:bookmarkStart w:id="328" w:name="utilisation-de-mixin"/>
    <w:p>
      <w:pPr>
        <w:pStyle w:val="berschrift4"/>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328"/>
    <w:bookmarkEnd w:id="329"/>
    <w:bookmarkStart w:id="333" w:name="classe-hascreationmodificationdates"/>
    <w:p>
      <w:pPr>
        <w:pStyle w:val="berschrift3"/>
      </w:pPr>
      <w:r>
        <w:t xml:space="preserve">Classe: HasCreationModificationDates</w:t>
      </w:r>
      <w:r>
        <w:t xml:space="preserve"> </w:t>
      </w:r>
      <w:bookmarkStart w:id="330" w:name="HasCreationModificationDates"/>
      <w:bookmarkEnd w:id="330"/>
    </w:p>
    <w:p>
      <w:pPr>
        <w:pStyle w:val="FirstParagraph"/>
      </w:pPr>
      <w:r>
        <w:rPr>
          <w:i/>
          <w:iCs/>
        </w:rPr>
        <w:t xml:space="preserve">Une classe mixin qui fournit des slots pour modéliser les dates de création et de modification d’une entité.</w:t>
      </w:r>
    </w:p>
    <w:bookmarkStart w:id="331" w:name="attributs-2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331"/>
    <w:bookmarkStart w:id="332" w:name="utilisation-de-mixin-1"/>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332"/>
    <w:bookmarkEnd w:id="333"/>
    <w:bookmarkStart w:id="337" w:name="classe-iseventwithduration"/>
    <w:p>
      <w:pPr>
        <w:pStyle w:val="berschrift3"/>
      </w:pPr>
      <w:r>
        <w:t xml:space="preserve">Classe: IsEventWithDuration</w:t>
      </w:r>
      <w:r>
        <w:t xml:space="preserve"> </w:t>
      </w:r>
      <w:bookmarkStart w:id="334" w:name="IsEventWithDuration"/>
      <w:bookmarkEnd w:id="334"/>
    </w:p>
    <w:p>
      <w:pPr>
        <w:pStyle w:val="FirstParagraph"/>
      </w:pPr>
      <w:r>
        <w:rPr>
          <w:i/>
          <w:iCs/>
        </w:rPr>
        <w:t xml:space="preserve">Une classe mixin qui fournit des slots pour modéliser des événements ou occurrences avec une durée.</w:t>
      </w:r>
    </w:p>
    <w:bookmarkStart w:id="335" w:name="attributs-2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335"/>
    <w:bookmarkStart w:id="336" w:name="utilisation-de-mixin-2"/>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336"/>
    <w:p>
      <w:r>
        <w:br w:type="page"/>
      </w:r>
    </w:p>
    <w:bookmarkEnd w:id="337"/>
    <w:bookmarkEnd w:id="338"/>
    <w:bookmarkEnd w:id="339"/>
    <w:bookmarkStart w:id="340" w:name="droits-dauteur"/>
    <w:p>
      <w:pPr>
        <w:pStyle w:val="berschrift1"/>
      </w:pPr>
      <w:r>
        <w:t xml:space="preserve">Droits d’auteur</w:t>
      </w:r>
    </w:p>
    <w:p>
      <w:pPr>
        <w:pStyle w:val="FirstParagraph"/>
      </w:pPr>
      <w:r>
        <w:t xml:space="preserve">Quiconque élabore des normes eCH en conserve la propriété intellectuelle. Elle ou il s’engage toutefois à mettre gratuitement, et pour autant que ce soit possible, la propriété intellectuelle en question ou ses droits à une propriété intellectuelle de tiers à la disposition des groupes de spécialistes respectifs ainsi qu’à l’Association eCH pour une utilisation et un développement sans restriction dans le cadre des buts de l’association.</w:t>
      </w:r>
    </w:p>
    <w:p>
      <w:pPr>
        <w:pStyle w:val="Textkrper"/>
      </w:pPr>
      <w:r>
        <w:t xml:space="preserve">Les normes élaborées par les groupes de spécialistes peuvent, moyennant mention du détenteur/de la détentrice des droits d’auteur eCH respectifs, être utilisées, développées et déployées gratuitement et sans restriction.</w:t>
      </w:r>
    </w:p>
    <w:p>
      <w:pPr>
        <w:pStyle w:val="Textkrper"/>
      </w:pPr>
      <w:r>
        <w:t xml:space="preserve">Les normes eCH sont complètement documentées et libres de toute restriction relevant du droit des brevets ou de droits de licence. La documentation correspondante peut être obtenue gratuitement.</w:t>
      </w:r>
    </w:p>
    <w:p>
      <w:pPr>
        <w:pStyle w:val="Textkrper"/>
      </w:pPr>
      <w:r>
        <w:t xml:space="preserve">Les présentes dispositions s’appliquent exclusivement aux normes élaborées par eCH, non aux normes ou produits de tiers auxquels il est fait référence dans les normes eCH. Les normes incluront les références appropriées aux droits de tiers.</w:t>
      </w:r>
    </w:p>
    <w:p>
      <w:r>
        <w:br w:type="page"/>
      </w:r>
    </w:p>
    <w:bookmarkEnd w:id="340"/>
    <w:bookmarkStart w:id="350"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346"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341">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342">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34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344">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345">
              <w:r>
                <w:rPr>
                  <w:rStyle w:val="Hyperlink"/>
                </w:rPr>
                <w:t xml:space="preserve">https://www.ech.ch/de/ech/ech-0297</w:t>
              </w:r>
            </w:hyperlink>
          </w:p>
        </w:tc>
      </w:tr>
    </w:tbl>
    <w:bookmarkEnd w:id="346"/>
    <w:bookmarkStart w:id="349"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347">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48">
              <w:r>
                <w:rPr>
                  <w:rStyle w:val="Hyperlink"/>
                </w:rPr>
                <w:t xml:space="preserve">https://linkml.io</w:t>
              </w:r>
            </w:hyperlink>
          </w:p>
        </w:tc>
      </w:tr>
    </w:tbl>
    <w:bookmarkEnd w:id="349"/>
    <w:bookmarkEnd w:id="3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3" Target="https://ch.paf.link/schema/operations/AgendaItemTypeEnum" TargetMode="External" /><Relationship Type="http://schemas.openxmlformats.org/officeDocument/2006/relationships/hyperlink" Id="rId251" Target="https://ch.paf.link/schema/operations/AttendanceTypeEnum" TargetMode="External" /><Relationship Type="http://schemas.openxmlformats.org/officeDocument/2006/relationships/hyperlink" Id="rId219" Target="https://ch.paf.link/schema/operations/ElectionTypeEnum" TargetMode="External" /><Relationship Type="http://schemas.openxmlformats.org/officeDocument/2006/relationships/hyperlink" Id="rId204" Target="https://ch.paf.link/schema/operations/IndividualVoteTypeEnum" TargetMode="External" /><Relationship Type="http://schemas.openxmlformats.org/officeDocument/2006/relationships/hyperlink" Id="rId177" Target="https://ch.paf.link/schema/operations/MajorityTypeEnum" TargetMode="External" /><Relationship Type="http://schemas.openxmlformats.org/officeDocument/2006/relationships/hyperlink" Id="rId141"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16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37" Target="https://github.com/swiss/political-affairs-ech-group/issues/24" TargetMode="External" /><Relationship Type="http://schemas.openxmlformats.org/officeDocument/2006/relationships/hyperlink" Id="rId348" Target="https://linkml.io" TargetMode="External" /><Relationship Type="http://schemas.openxmlformats.org/officeDocument/2006/relationships/hyperlink" Id="rId347" Target="https://www.dublincore.org/specifications/dublin-core/dcmi-terms/" TargetMode="External" /><Relationship Type="http://schemas.openxmlformats.org/officeDocument/2006/relationships/hyperlink" Id="rId341" Target="https://www.ech.ch/de/ech/ech-0292" TargetMode="External" /><Relationship Type="http://schemas.openxmlformats.org/officeDocument/2006/relationships/hyperlink" Id="rId342" Target="https://www.ech.ch/de/ech/ech-0294" TargetMode="External" /><Relationship Type="http://schemas.openxmlformats.org/officeDocument/2006/relationships/hyperlink" Id="rId343" Target="https://www.ech.ch/de/ech/ech-0295" TargetMode="External" /><Relationship Type="http://schemas.openxmlformats.org/officeDocument/2006/relationships/hyperlink" Id="rId344" Target="https://www.ech.ch/de/ech/ech-0296" TargetMode="External" /><Relationship Type="http://schemas.openxmlformats.org/officeDocument/2006/relationships/hyperlink" Id="rId345" Target="https://www.ech.ch/de/ech/ech-0297" TargetMode="External" /><Relationship Type="http://schemas.openxmlformats.org/officeDocument/2006/relationships/hyperlink" Id="rId115" Target="ops:enum/agenda_item_type/group" TargetMode="External" /><Relationship Type="http://schemas.openxmlformats.org/officeDocument/2006/relationships/hyperlink" Id="rId114" Target="ops:enum/agenda_item_type/item" TargetMode="External" /><Relationship Type="http://schemas.openxmlformats.org/officeDocument/2006/relationships/hyperlink" Id="rId254" Target="ops:enum/attendance_type/present" TargetMode="External" /><Relationship Type="http://schemas.openxmlformats.org/officeDocument/2006/relationships/hyperlink" Id="rId252" Target="ops:enum/attendance_type/remote" TargetMode="External" /><Relationship Type="http://schemas.openxmlformats.org/officeDocument/2006/relationships/hyperlink" Id="rId253" Target="ops:enum/attendance_type/substitute" TargetMode="External" /><Relationship Type="http://schemas.openxmlformats.org/officeDocument/2006/relationships/hyperlink" Id="rId221" Target="ops:enum/election_type/open" TargetMode="External" /><Relationship Type="http://schemas.openxmlformats.org/officeDocument/2006/relationships/hyperlink" Id="rId220" Target="ops:enum/election_type/secret" TargetMode="External" /><Relationship Type="http://schemas.openxmlformats.org/officeDocument/2006/relationships/hyperlink" Id="rId222" Target="ops:enum/election_type/silent" TargetMode="External" /><Relationship Type="http://schemas.openxmlformats.org/officeDocument/2006/relationships/hyperlink" Id="rId207" Target="ops:enum/individual_vote_type/abstention" TargetMode="External" /><Relationship Type="http://schemas.openxmlformats.org/officeDocument/2006/relationships/hyperlink" Id="rId206" Target="ops:enum/individual_vote_type/no" TargetMode="External" /><Relationship Type="http://schemas.openxmlformats.org/officeDocument/2006/relationships/hyperlink" Id="rId208" Target="ops:enum/individual_vote_type/not_voted" TargetMode="External" /><Relationship Type="http://schemas.openxmlformats.org/officeDocument/2006/relationships/hyperlink" Id="rId210" Target="ops:enum/individual_vote_type/other" TargetMode="External" /><Relationship Type="http://schemas.openxmlformats.org/officeDocument/2006/relationships/hyperlink" Id="rId209" Target="ops:enum/individual_vote_type/tie_breaker" TargetMode="External" /><Relationship Type="http://schemas.openxmlformats.org/officeDocument/2006/relationships/hyperlink" Id="rId205" Target="ops:enum/individual_vote_type/yes" TargetMode="External" /><Relationship Type="http://schemas.openxmlformats.org/officeDocument/2006/relationships/hyperlink" Id="rId178" Target="ops:enum/majority_type/absolute" TargetMode="External" /><Relationship Type="http://schemas.openxmlformats.org/officeDocument/2006/relationships/hyperlink" Id="rId180" Target="ops:enum/majority_type/other" TargetMode="External" /><Relationship Type="http://schemas.openxmlformats.org/officeDocument/2006/relationships/hyperlink" Id="rId179" Target="ops:enum/majority_type/two_thirds" TargetMode="External" /><Relationship Type="http://schemas.openxmlformats.org/officeDocument/2006/relationships/hyperlink" Id="rId142" Target="ops:enum/resolution_type/accepted" TargetMode="External" /><Relationship Type="http://schemas.openxmlformats.org/officeDocument/2006/relationships/hyperlink" Id="rId145" Target="ops:enum/resolution_type/accepted_point_by_point" TargetMode="External" /><Relationship Type="http://schemas.openxmlformats.org/officeDocument/2006/relationships/hyperlink" Id="rId146" Target="ops:enum/resolution_type/accepted_with_postulate" TargetMode="External" /><Relationship Type="http://schemas.openxmlformats.org/officeDocument/2006/relationships/hyperlink" Id="rId148" Target="ops:enum/resolution_type/nearly_unanimous" TargetMode="External" /><Relationship Type="http://schemas.openxmlformats.org/officeDocument/2006/relationships/hyperlink" Id="rId144" Target="ops:enum/resolution_type/noted" TargetMode="External" /><Relationship Type="http://schemas.openxmlformats.org/officeDocument/2006/relationships/hyperlink" Id="rId147" Target="ops:enum/resolution_type/orally_settled" TargetMode="External" /><Relationship Type="http://schemas.openxmlformats.org/officeDocument/2006/relationships/hyperlink" Id="rId149" Target="ops:enum/resolution_type/other" TargetMode="External" /><Relationship Type="http://schemas.openxmlformats.org/officeDocument/2006/relationships/hyperlink" Id="rId143"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170" Target="ops:enum/voting_type/final_vote" TargetMode="External" /><Relationship Type="http://schemas.openxmlformats.org/officeDocument/2006/relationships/hyperlink" Id="rId173" Target="ops:enum/voting_type/other" TargetMode="External" /><Relationship Type="http://schemas.openxmlformats.org/officeDocument/2006/relationships/hyperlink" Id="rId169" Target="ops:enum/voting_type/preliminary_vote" TargetMode="External" /><Relationship Type="http://schemas.openxmlformats.org/officeDocument/2006/relationships/hyperlink" Id="rId172" Target="ops:enum/voting_type/secret_vote" TargetMode="External" /><Relationship Type="http://schemas.openxmlformats.org/officeDocument/2006/relationships/hyperlink" Id="rId171"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3" Target="https://ch.paf.link/schema/operations/AgendaItemTypeEnum" TargetMode="External" /><Relationship Type="http://schemas.openxmlformats.org/officeDocument/2006/relationships/hyperlink" Id="rId251" Target="https://ch.paf.link/schema/operations/AttendanceTypeEnum" TargetMode="External" /><Relationship Type="http://schemas.openxmlformats.org/officeDocument/2006/relationships/hyperlink" Id="rId219" Target="https://ch.paf.link/schema/operations/ElectionTypeEnum" TargetMode="External" /><Relationship Type="http://schemas.openxmlformats.org/officeDocument/2006/relationships/hyperlink" Id="rId204" Target="https://ch.paf.link/schema/operations/IndividualVoteTypeEnum" TargetMode="External" /><Relationship Type="http://schemas.openxmlformats.org/officeDocument/2006/relationships/hyperlink" Id="rId177" Target="https://ch.paf.link/schema/operations/MajorityTypeEnum" TargetMode="External" /><Relationship Type="http://schemas.openxmlformats.org/officeDocument/2006/relationships/hyperlink" Id="rId141"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16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37" Target="https://github.com/swiss/political-affairs-ech-group/issues/24" TargetMode="External" /><Relationship Type="http://schemas.openxmlformats.org/officeDocument/2006/relationships/hyperlink" Id="rId348" Target="https://linkml.io" TargetMode="External" /><Relationship Type="http://schemas.openxmlformats.org/officeDocument/2006/relationships/hyperlink" Id="rId347" Target="https://www.dublincore.org/specifications/dublin-core/dcmi-terms/" TargetMode="External" /><Relationship Type="http://schemas.openxmlformats.org/officeDocument/2006/relationships/hyperlink" Id="rId341" Target="https://www.ech.ch/de/ech/ech-0292" TargetMode="External" /><Relationship Type="http://schemas.openxmlformats.org/officeDocument/2006/relationships/hyperlink" Id="rId342" Target="https://www.ech.ch/de/ech/ech-0294" TargetMode="External" /><Relationship Type="http://schemas.openxmlformats.org/officeDocument/2006/relationships/hyperlink" Id="rId343" Target="https://www.ech.ch/de/ech/ech-0295" TargetMode="External" /><Relationship Type="http://schemas.openxmlformats.org/officeDocument/2006/relationships/hyperlink" Id="rId344" Target="https://www.ech.ch/de/ech/ech-0296" TargetMode="External" /><Relationship Type="http://schemas.openxmlformats.org/officeDocument/2006/relationships/hyperlink" Id="rId345" Target="https://www.ech.ch/de/ech/ech-0297" TargetMode="External" /><Relationship Type="http://schemas.openxmlformats.org/officeDocument/2006/relationships/hyperlink" Id="rId115" Target="ops:enum/agenda_item_type/group" TargetMode="External" /><Relationship Type="http://schemas.openxmlformats.org/officeDocument/2006/relationships/hyperlink" Id="rId114" Target="ops:enum/agenda_item_type/item" TargetMode="External" /><Relationship Type="http://schemas.openxmlformats.org/officeDocument/2006/relationships/hyperlink" Id="rId254" Target="ops:enum/attendance_type/present" TargetMode="External" /><Relationship Type="http://schemas.openxmlformats.org/officeDocument/2006/relationships/hyperlink" Id="rId252" Target="ops:enum/attendance_type/remote" TargetMode="External" /><Relationship Type="http://schemas.openxmlformats.org/officeDocument/2006/relationships/hyperlink" Id="rId253" Target="ops:enum/attendance_type/substitute" TargetMode="External" /><Relationship Type="http://schemas.openxmlformats.org/officeDocument/2006/relationships/hyperlink" Id="rId221" Target="ops:enum/election_type/open" TargetMode="External" /><Relationship Type="http://schemas.openxmlformats.org/officeDocument/2006/relationships/hyperlink" Id="rId220" Target="ops:enum/election_type/secret" TargetMode="External" /><Relationship Type="http://schemas.openxmlformats.org/officeDocument/2006/relationships/hyperlink" Id="rId222" Target="ops:enum/election_type/silent" TargetMode="External" /><Relationship Type="http://schemas.openxmlformats.org/officeDocument/2006/relationships/hyperlink" Id="rId207" Target="ops:enum/individual_vote_type/abstention" TargetMode="External" /><Relationship Type="http://schemas.openxmlformats.org/officeDocument/2006/relationships/hyperlink" Id="rId206" Target="ops:enum/individual_vote_type/no" TargetMode="External" /><Relationship Type="http://schemas.openxmlformats.org/officeDocument/2006/relationships/hyperlink" Id="rId208" Target="ops:enum/individual_vote_type/not_voted" TargetMode="External" /><Relationship Type="http://schemas.openxmlformats.org/officeDocument/2006/relationships/hyperlink" Id="rId210" Target="ops:enum/individual_vote_type/other" TargetMode="External" /><Relationship Type="http://schemas.openxmlformats.org/officeDocument/2006/relationships/hyperlink" Id="rId209" Target="ops:enum/individual_vote_type/tie_breaker" TargetMode="External" /><Relationship Type="http://schemas.openxmlformats.org/officeDocument/2006/relationships/hyperlink" Id="rId205" Target="ops:enum/individual_vote_type/yes" TargetMode="External" /><Relationship Type="http://schemas.openxmlformats.org/officeDocument/2006/relationships/hyperlink" Id="rId178" Target="ops:enum/majority_type/absolute" TargetMode="External" /><Relationship Type="http://schemas.openxmlformats.org/officeDocument/2006/relationships/hyperlink" Id="rId180" Target="ops:enum/majority_type/other" TargetMode="External" /><Relationship Type="http://schemas.openxmlformats.org/officeDocument/2006/relationships/hyperlink" Id="rId179" Target="ops:enum/majority_type/two_thirds" TargetMode="External" /><Relationship Type="http://schemas.openxmlformats.org/officeDocument/2006/relationships/hyperlink" Id="rId142" Target="ops:enum/resolution_type/accepted" TargetMode="External" /><Relationship Type="http://schemas.openxmlformats.org/officeDocument/2006/relationships/hyperlink" Id="rId145" Target="ops:enum/resolution_type/accepted_point_by_point" TargetMode="External" /><Relationship Type="http://schemas.openxmlformats.org/officeDocument/2006/relationships/hyperlink" Id="rId146" Target="ops:enum/resolution_type/accepted_with_postulate" TargetMode="External" /><Relationship Type="http://schemas.openxmlformats.org/officeDocument/2006/relationships/hyperlink" Id="rId148" Target="ops:enum/resolution_type/nearly_unanimous" TargetMode="External" /><Relationship Type="http://schemas.openxmlformats.org/officeDocument/2006/relationships/hyperlink" Id="rId144" Target="ops:enum/resolution_type/noted" TargetMode="External" /><Relationship Type="http://schemas.openxmlformats.org/officeDocument/2006/relationships/hyperlink" Id="rId147" Target="ops:enum/resolution_type/orally_settled" TargetMode="External" /><Relationship Type="http://schemas.openxmlformats.org/officeDocument/2006/relationships/hyperlink" Id="rId149" Target="ops:enum/resolution_type/other" TargetMode="External" /><Relationship Type="http://schemas.openxmlformats.org/officeDocument/2006/relationships/hyperlink" Id="rId143"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170" Target="ops:enum/voting_type/final_vote" TargetMode="External" /><Relationship Type="http://schemas.openxmlformats.org/officeDocument/2006/relationships/hyperlink" Id="rId173" Target="ops:enum/voting_type/other" TargetMode="External" /><Relationship Type="http://schemas.openxmlformats.org/officeDocument/2006/relationships/hyperlink" Id="rId169" Target="ops:enum/voting_type/preliminary_vote" TargetMode="External" /><Relationship Type="http://schemas.openxmlformats.org/officeDocument/2006/relationships/hyperlink" Id="rId172" Target="ops:enum/voting_type/secret_vote" TargetMode="External" /><Relationship Type="http://schemas.openxmlformats.org/officeDocument/2006/relationships/hyperlink" Id="rId171"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2026-09-23T14:40:35Z</dcterms:created>
  <dcterms:modified xsi:type="dcterms:W3CDTF">2026-09-23T14:40:35Z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