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The vocabulary classifies a group by its political function, so that groups can be compared across communes, cantons and the Confederation. What counts is the function, not the designation used locally: Büro, Ratsleitung and Ufficio presidenziale all take the value</w:t>
      </w:r>
      <w:r>
        <w:rPr>
          <w:i/>
          <w:iCs/>
        </w:rPr>
        <w:t xml:space="preserve"> </w:t>
      </w:r>
      <w:r>
        <w:rPr>
          <w:rStyle w:val="VerbatimChar"/>
          <w:i/>
          <w:iCs/>
        </w:rPr>
        <w:t xml:space="preserve">council_bureau</w:t>
      </w:r>
      <w:r>
        <w:rPr>
          <w:i/>
          <w:iCs/>
        </w:rPr>
        <w:t xml:space="preserve">, while their respective designation is recorded in the group’s label.</w:t>
      </w:r>
    </w:p>
    <w:p>
      <w:pPr>
        <w:pStyle w:val="Textkrper"/>
      </w:pPr>
      <w:r>
        <w:rPr>
          <w:i/>
          <w:iCs/>
        </w:rPr>
        <w:t xml:space="preserve">The classification is mandatory: every group carries a</w:t>
      </w:r>
      <w:r>
        <w:rPr>
          <w:i/>
          <w:iCs/>
        </w:rPr>
        <w:t xml:space="preserve"> </w:t>
      </w:r>
      <w:r>
        <w:rPr>
          <w:rStyle w:val="VerbatimChar"/>
          <w:i/>
          <w:iCs/>
        </w:rPr>
        <w:t xml:space="preserve">group_type</w:t>
      </w:r>
      <w:r>
        <w:rPr>
          <w:i/>
          <w:iCs/>
        </w:rPr>
        <w:t xml:space="preserve">. Where no value fits,</w:t>
      </w:r>
      <w:r>
        <w:rPr>
          <w:i/>
          <w:iCs/>
        </w:rPr>
        <w:t xml:space="preserve"> </w:t>
      </w:r>
      <w:r>
        <w:rPr>
          <w:rStyle w:val="VerbatimChar"/>
          <w:i/>
          <w:iCs/>
        </w:rPr>
        <w:t xml:space="preserve">other</w:t>
      </w:r>
      <w:r>
        <w:rPr>
          <w:i/>
          <w:iCs/>
        </w:rPr>
        <w:t xml:space="preserve"> </w:t>
      </w:r>
      <w:r>
        <w:rPr>
          <w:i/>
          <w:iCs/>
        </w:rPr>
        <w:t xml:space="preserve">is used and the designation is recorded in the label.</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2026-08-08T19:46:07Z</dcterms:created>
  <dcterms:modified xsi:type="dcterms:W3CDTF">2026-08-08T19:46:07Z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