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Le vocabulaire classe un groupe selon sa fonction politique, afin que les groupes soient comparables d’une commune, d’un canton et de la Confédération à l’autre. Ce qui compte est la fonction, non la désignation locale : Büro, Ratsleitung et Ufficio presidenziale reçoivent tous la valeur</w:t>
      </w:r>
      <w:r>
        <w:rPr>
          <w:i/>
          <w:iCs/>
        </w:rPr>
        <w:t xml:space="preserve"> </w:t>
      </w:r>
      <w:r>
        <w:rPr>
          <w:rStyle w:val="VerbatimChar"/>
          <w:i/>
          <w:iCs/>
        </w:rPr>
        <w:t xml:space="preserve">council_bureau</w:t>
      </w:r>
      <w:r>
        <w:rPr>
          <w:i/>
          <w:iCs/>
        </w:rPr>
        <w:t xml:space="preserve">, tandis que leur désignation respective est saisie dans le libellé du groupe.</w:t>
      </w:r>
    </w:p>
    <w:p>
      <w:pPr>
        <w:pStyle w:val="Textkrper"/>
      </w:pPr>
      <w:r>
        <w:rPr>
          <w:i/>
          <w:iCs/>
        </w:rPr>
        <w:t xml:space="preserve">Le classement est obligatoire : chaque groupe porte un</w:t>
      </w:r>
      <w:r>
        <w:rPr>
          <w:i/>
          <w:iCs/>
        </w:rPr>
        <w:t xml:space="preserve"> </w:t>
      </w:r>
      <w:r>
        <w:rPr>
          <w:rStyle w:val="VerbatimChar"/>
          <w:i/>
          <w:iCs/>
        </w:rPr>
        <w:t xml:space="preserve">group_type</w:t>
      </w:r>
      <w:r>
        <w:rPr>
          <w:i/>
          <w:iCs/>
        </w:rPr>
        <w:t xml:space="preserve">. Lorsqu’aucune valeur ne convient,</w:t>
      </w:r>
      <w:r>
        <w:rPr>
          <w:i/>
          <w:iCs/>
        </w:rPr>
        <w:t xml:space="preserve"> </w:t>
      </w:r>
      <w:r>
        <w:rPr>
          <w:rStyle w:val="VerbatimChar"/>
          <w:i/>
          <w:iCs/>
        </w:rPr>
        <w:t xml:space="preserve">other</w:t>
      </w:r>
      <w:r>
        <w:rPr>
          <w:i/>
          <w:iCs/>
        </w:rPr>
        <w:t xml:space="preserve"> </w:t>
      </w:r>
      <w:r>
        <w:rPr>
          <w:i/>
          <w:iCs/>
        </w:rPr>
        <w:t xml:space="preserve">est utilisé et la désignation est saisie dans le libellé.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2026-08-08T19:46:05Z</dcterms:created>
  <dcterms:modified xsi:type="dcterms:W3CDTF">2026-08-08T19:46:05Z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