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ch_citizenship</w:t>
      </w:r>
      <w:r>
        <w:t xml:space="preserve">: Schweizer Bürgerrecht (Validity-Objekt)</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year">
              <w:r>
                <w:rPr>
                  <w:rStyle w:val="Hyperlink"/>
                </w:rPr>
                <w:t xml:space="preserve">death_year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Todesjahr</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Link zum Gruppentyp</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Beschreibung der Entität</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Link zu übergeordneten Gruppen</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(Gemeindenummer, 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2026-04-08T11:04:17Z</dcterms:created>
  <dcterms:modified xsi:type="dcterms:W3CDTF">2026-04-08T11:04:17Z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