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Political</w:t>
      </w:r>
      <w:r>
        <w:t xml:space="preserve"> </w:t>
      </w:r>
      <w:r>
        <w:t xml:space="preserve">Actors:</w:t>
      </w:r>
      <w:r>
        <w:t xml:space="preserve"> </w:t>
      </w:r>
      <w:r>
        <w:t xml:space="preserve">Persons,</w:t>
      </w:r>
      <w:r>
        <w:t xml:space="preserve"> </w:t>
      </w:r>
      <w:r>
        <w:t xml:space="preserve">Groups</w:t>
      </w:r>
      <w:r>
        <w:t xml:space="preserve"> </w:t>
      </w:r>
      <w:r>
        <w:t xml:space="preserve">and</w:t>
      </w:r>
      <w:r>
        <w:t xml:space="preserve"> </w:t>
      </w:r>
      <w:r>
        <w:t xml:space="preserve">Bodies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Political Actors: Persons, Groups and Bodies</w:t>
            </w:r>
          </w:p>
        </w:tc>
      </w:tr>
      <w:tr>
        <w:tc>
          <w:tcPr/>
          <w:p>
            <w:pPr>
              <w:pStyle w:val="Compact"/>
              <w:jc w:val="left"/>
            </w:pPr>
            <w:r>
              <w:rPr>
                <w:bCs/>
                <w:b/>
              </w:rPr>
              <w:t xml:space="preserve">eCH number</w:t>
            </w:r>
          </w:p>
        </w:tc>
        <w:tc>
          <w:tcPr/>
          <w:p>
            <w:pPr>
              <w:pStyle w:val="Compact"/>
              <w:jc w:val="left"/>
            </w:pPr>
            <w:r>
              <w:t xml:space="preserve">eCH-0294</w:t>
            </w:r>
          </w:p>
        </w:tc>
      </w:tr>
      <w:tr>
        <w:tc>
          <w:tcPr/>
          <w:p>
            <w:pPr>
              <w:pStyle w:val="Compact"/>
              <w:jc w:val="left"/>
            </w:pPr>
            <w:r>
              <w:rPr>
                <w:bCs/>
                <w:b/>
              </w:rPr>
              <w:t xml:space="preserve">Category</w:t>
            </w:r>
          </w:p>
        </w:tc>
        <w:tc>
          <w:tcPr/>
          <w:p>
            <w:pPr>
              <w:pStyle w:val="Compact"/>
              <w:jc w:val="left"/>
            </w:pPr>
            <w:r>
              <w:t xml:space="preserve">Draft</w:t>
            </w:r>
          </w:p>
        </w:tc>
      </w:tr>
      <w:tr>
        <w:tc>
          <w:tcPr/>
          <w:p>
            <w:pPr>
              <w:pStyle w:val="Compact"/>
              <w:jc w:val="left"/>
            </w:pPr>
            <w:r>
              <w:rPr>
                <w:bCs/>
                <w:b/>
              </w:rPr>
              <w:t xml:space="preserve">Maturity level</w:t>
            </w:r>
          </w:p>
        </w:tc>
        <w:tc>
          <w:tcPr/>
          <w:p>
            <w:pPr>
              <w:pStyle w:val="Compact"/>
              <w:jc w:val="left"/>
            </w:pPr>
            <w:r>
              <w:t xml:space="preserve">Specialist group internal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Adopted on</w:t>
            </w:r>
          </w:p>
        </w:tc>
        <w:tc>
          <w:tcPr/>
          <w:p>
            <w:pPr>
              <w:pStyle w:val="Compact"/>
            </w:pPr>
          </w:p>
        </w:tc>
      </w:tr>
      <w:tr>
        <w:tc>
          <w:tcPr/>
          <w:p>
            <w:pPr>
              <w:pStyle w:val="Compact"/>
              <w:jc w:val="left"/>
            </w:pPr>
            <w:r>
              <w:rPr>
                <w:bCs/>
                <w:b/>
              </w:rPr>
              <w:t xml:space="preserve">Issue date</w:t>
            </w:r>
          </w:p>
        </w:tc>
        <w:tc>
          <w:tcPr/>
          <w:p>
            <w:pPr>
              <w:pStyle w:val="Compact"/>
            </w:pPr>
          </w:p>
        </w:tc>
      </w:tr>
      <w:tr>
        <w:tc>
          <w:tcPr/>
          <w:p>
            <w:pPr>
              <w:pStyle w:val="Compact"/>
              <w:jc w:val="left"/>
            </w:pPr>
            <w:r>
              <w:rPr>
                <w:bCs/>
                <w:b/>
              </w:rPr>
              <w:t xml:space="preserve">Replaces version</w:t>
            </w:r>
          </w:p>
        </w:tc>
        <w:tc>
          <w:tcPr/>
          <w:p>
            <w:pPr>
              <w:pStyle w:val="Compact"/>
              <w:jc w:val="left"/>
            </w:pPr>
            <w:r>
              <w:t xml:space="preserve">0.0</w:t>
            </w:r>
          </w:p>
        </w:tc>
      </w:tr>
      <w:tr>
        <w:tc>
          <w:tcPr/>
          <w:p>
            <w:pPr>
              <w:pStyle w:val="Compact"/>
              <w:jc w:val="left"/>
            </w:pPr>
            <w:r>
              <w:rPr>
                <w:bCs/>
                <w:b/>
              </w:rPr>
              <w:t xml:space="preserve">Prerequisites</w:t>
            </w:r>
          </w:p>
        </w:tc>
        <w:tc>
          <w:tcPr/>
          <w:p>
            <w:pPr>
              <w:pStyle w:val="Compact"/>
              <w:jc w:val="left"/>
            </w:pPr>
            <w:r>
              <w:t xml:space="preserve">eCH-0292 (Common Data Elements)</w:t>
            </w:r>
          </w:p>
        </w:tc>
      </w:tr>
      <w:tr>
        <w:tc>
          <w:tcPr/>
          <w:p>
            <w:pPr>
              <w:pStyle w:val="Compact"/>
              <w:jc w:val="left"/>
            </w:pPr>
            <w:r>
              <w:rPr>
                <w:bCs/>
                <w:b/>
              </w:rPr>
              <w:t xml:space="preserve">Annexes</w:t>
            </w:r>
          </w:p>
        </w:tc>
        <w:tc>
          <w:tcPr/>
          <w:p>
            <w:pPr>
              <w:pStyle w:val="Compact"/>
              <w:jc w:val="left"/>
            </w:pPr>
            <w:r>
              <w:t xml:space="preserve">-</w:t>
            </w:r>
          </w:p>
        </w:tc>
      </w:tr>
      <w:tr>
        <w:tc>
          <w:tcPr/>
          <w:p>
            <w:pPr>
              <w:pStyle w:val="Compact"/>
              <w:jc w:val="left"/>
            </w:pPr>
            <w:r>
              <w:rPr>
                <w:bCs/>
                <w:b/>
              </w:rPr>
              <w:t xml:space="preserve">Languages</w:t>
            </w:r>
          </w:p>
        </w:tc>
        <w:tc>
          <w:tcPr/>
          <w:p>
            <w:pPr>
              <w:pStyle w:val="Compact"/>
              <w:jc w:val="left"/>
            </w:pPr>
            <w:r>
              <w:t xml:space="preserve">German (original) - English (data model)</w:t>
            </w:r>
          </w:p>
        </w:tc>
      </w:tr>
      <w:tr>
        <w:tc>
          <w:tcPr/>
          <w:p>
            <w:pPr>
              <w:pStyle w:val="Compact"/>
              <w:jc w:val="left"/>
            </w:pPr>
            <w:r>
              <w:rPr>
                <w:bCs/>
                <w:b/>
              </w:rPr>
              <w:t xml:space="preserve">Authors</w:t>
            </w:r>
          </w:p>
        </w:tc>
        <w:tc>
          <w:tcPr/>
          <w:p>
            <w:pPr>
              <w:pStyle w:val="Compact"/>
              <w:jc w:val="left"/>
            </w:pPr>
            <w:r>
              <w:t xml:space="preserve">Specialist group political affairs: Julie Silberstein, Laurence Brandenberger, Daniela Koller, Thomas Roth, Stefan Oderbolz, Fabian Davolio, Orhan Saeedi, Christian Gutknecht, Michael Luggen</w:t>
            </w:r>
          </w:p>
        </w:tc>
      </w:tr>
      <w:tr>
        <w:tc>
          <w:tcPr/>
          <w:p>
            <w:pPr>
              <w:pStyle w:val="Compact"/>
              <w:jc w:val="left"/>
            </w:pPr>
            <w:r>
              <w:rPr>
                <w:bCs/>
                <w:b/>
              </w:rPr>
              <w:t xml:space="preserve">Publisher / Distribution</w:t>
            </w:r>
          </w:p>
        </w:tc>
        <w:tc>
          <w:tcPr/>
          <w:p>
            <w:pPr>
              <w:pStyle w:val="Compact"/>
              <w:jc w:val="left"/>
            </w:pPr>
            <w:r>
              <w:t xml:space="preserve">eCH Association,</w:t>
            </w:r>
            <w:r>
              <w:t xml:space="preserve"> </w:t>
            </w:r>
            <w:hyperlink r: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draft eCH-0294</w:t>
      </w:r>
      <w:r>
        <w:t xml:space="preserve"> </w:t>
      </w:r>
      <w:r>
        <w:t xml:space="preserve">“</w:t>
      </w:r>
      <w:r>
        <w:t xml:space="preserve">Political Actors: Persons, Groups and Bodies</w:t>
      </w:r>
      <w:r>
        <w:t xml:space="preserve">”</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w:t>
      </w:r>
      <w:r>
        <w:t xml:space="preserve">Political Affairs</w:t>
      </w:r>
      <w:r>
        <w:t xml:space="preserve">”</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w:t>
      </w:r>
      <w:r>
        <w:t xml:space="preserve">Political Affairs</w:t>
      </w:r>
      <w:r>
        <w:t xml:space="preserve">”</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numPr>
          <w:ilvl w:val="0"/>
          <w:numId w:val="1001"/>
        </w:numPr>
        <w:pStyle w:val="Compact"/>
      </w:pPr>
      <w:r>
        <w:rPr>
          <w:bCs/>
          <w:b/>
        </w:rPr>
        <w:t xml:space="preserve">eCH-0292 – Common Data Elements (Meta):</w:t>
      </w:r>
      <w:r>
        <w:t xml:space="preserve"> </w:t>
      </w:r>
      <w:r>
        <w:t xml:space="preserve">Defines the cross-cutting data elements and meta-processes on which the other standards build.</w:t>
      </w:r>
    </w:p>
    <w:p>
      <w:pPr>
        <w:numPr>
          <w:ilvl w:val="0"/>
          <w:numId w:val="1001"/>
        </w:numPr>
        <w:pStyle w:val="Compact"/>
      </w:pPr>
      <w:r>
        <w:rPr>
          <w:bCs/>
          <w:b/>
        </w:rPr>
        <w:t xml:space="preserve">eCH-0293 – Public Council Operations (Operations):</w:t>
      </w:r>
      <w:r>
        <w:t xml:space="preserve"> </w:t>
      </w:r>
      <w:r>
        <w:t xml:space="preserve">Describes public council operations – meetings, agenda items, statements, as well as votes and elections.</w:t>
      </w:r>
    </w:p>
    <w:p>
      <w:pPr>
        <w:numPr>
          <w:ilvl w:val="0"/>
          <w:numId w:val="1001"/>
        </w:numPr>
        <w:pStyle w:val="Compact"/>
      </w:pPr>
      <w:r>
        <w:rPr>
          <w:bCs/>
          <w:b/>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numPr>
          <w:ilvl w:val="0"/>
          <w:numId w:val="1001"/>
        </w:numPr>
        <w:pStyle w:val="Compact"/>
      </w:pPr>
      <w:r>
        <w:rPr>
          <w:bCs/>
          <w:b/>
        </w:rPr>
        <w:t xml:space="preserve">eCH-0295 – Parliamentary Affairs (Affairs):</w:t>
      </w:r>
      <w:r>
        <w:t xml:space="preserve"> </w:t>
      </w:r>
      <w:r>
        <w:t xml:space="preserve">Describes the life cycle of political affairs.</w:t>
      </w:r>
    </w:p>
    <w:p>
      <w:pPr>
        <w:numPr>
          <w:ilvl w:val="0"/>
          <w:numId w:val="1001"/>
        </w:numPr>
        <w:pStyle w:val="Compact"/>
      </w:pPr>
      <w:r>
        <w:rPr>
          <w:bCs/>
          <w:b/>
        </w:rPr>
        <w:t xml:space="preserve">eCH-0296 – Enactments and Legal Texts (Laws):</w:t>
      </w:r>
      <w:r>
        <w:t xml:space="preserve"> </w:t>
      </w:r>
      <w:r>
        <w:t xml:space="preserve">Records the results of the parliamentary process – the adopted laws and enactments.</w:t>
      </w:r>
    </w:p>
    <w:p>
      <w:pPr>
        <w:numPr>
          <w:ilvl w:val="0"/>
          <w:numId w:val="1001"/>
        </w:numPr>
        <w:pStyle w:val="Compact"/>
      </w:pPr>
      <w:r>
        <w:rPr>
          <w:bCs/>
          <w:b/>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w:t>
      </w:r>
      <w:r>
        <w:t xml:space="preserve">Political Rights</w:t>
      </w:r>
      <w:r>
        <w:t xml:space="preserve">”</w:t>
      </w:r>
      <w:r>
        <w:t xml:space="preserve"> </w:t>
      </w:r>
      <w:r>
        <w:t xml:space="preserve">specialist group</w:t>
      </w:r>
    </w:p>
    <w:p>
      <w:pPr>
        <w:pStyle w:val="FirstParagraph"/>
      </w:pPr>
      <w:r>
        <w:t xml:space="preserve">Alongside the</w:t>
      </w:r>
      <w:r>
        <w:t xml:space="preserve"> </w:t>
      </w:r>
      <w:r>
        <w:t xml:space="preserve">“</w:t>
      </w:r>
      <w:r>
        <w:t xml:space="preserve">Political Affairs</w:t>
      </w:r>
      <w:r>
        <w:t xml:space="preserve">”</w:t>
      </w:r>
      <w:r>
        <w:t xml:space="preserve"> </w:t>
      </w:r>
      <w:r>
        <w:t xml:space="preserve">specialist group, the eCH Association also maintains the</w:t>
      </w:r>
      <w:r>
        <w:t xml:space="preserve"> </w:t>
      </w:r>
      <w:r>
        <w:t xml:space="preserve">“</w:t>
      </w:r>
      <w:r>
        <w:t xml:space="preserve">Political Rights</w:t>
      </w:r>
      <w:r>
        <w:t xml:space="preserve">”</w:t>
      </w:r>
      <w:r>
        <w:t xml:space="preserve"> </w:t>
      </w:r>
      <w:r>
        <w:t xml:space="preserve">specialist group. Both concern the political domain, but cover different areas:</w:t>
      </w:r>
    </w:p>
    <w:p>
      <w:pPr>
        <w:numPr>
          <w:ilvl w:val="0"/>
          <w:numId w:val="1002"/>
        </w:numPr>
        <w:pStyle w:val="Compact"/>
      </w:pPr>
      <w:r>
        <w:rPr>
          <w:bCs/>
          <w:b/>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numPr>
          <w:ilvl w:val="0"/>
          <w:numId w:val="1002"/>
        </w:numPr>
        <w:pStyle w:val="Compact"/>
      </w:pPr>
      <w:r>
        <w:rPr>
          <w:bCs/>
          <w:b/>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numPr>
          <w:ilvl w:val="0"/>
          <w:numId w:val="1003"/>
        </w:numPr>
        <w:pStyle w:val="Compact"/>
      </w:pPr>
      <w:r>
        <w:rPr>
          <w:bCs/>
          <w:b/>
        </w:rPr>
        <w:t xml:space="preserve">Votes and elections:</w:t>
      </w:r>
      <w:r>
        <w:t xml:space="preserve"> </w:t>
      </w:r>
      <w:r>
        <w:t xml:space="preserve">eCH-0293 records votes and elections</w:t>
      </w:r>
      <w:r>
        <w:t xml:space="preserve"> </w:t>
      </w:r>
      <w:r>
        <w:rPr>
          <w:bCs/>
          <w:b/>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w:t>
      </w:r>
      <w:r>
        <w:t xml:space="preserve">Political Rights</w:t>
      </w:r>
      <w:r>
        <w:t xml:space="preserve">”</w:t>
      </w:r>
      <w:r>
        <w:t xml:space="preserve"> </w:t>
      </w:r>
      <w:r>
        <w:t xml:space="preserve">specialist group.</w:t>
      </w:r>
    </w:p>
    <w:p>
      <w:pPr>
        <w:numPr>
          <w:ilvl w:val="0"/>
          <w:numId w:val="1003"/>
        </w:numPr>
        <w:pStyle w:val="Compact"/>
      </w:pPr>
      <w:r>
        <w:rPr>
          <w:bCs/>
          <w:b/>
        </w:rPr>
        <w:t xml:space="preserve">Elected persons:</w:t>
      </w:r>
      <w:r>
        <w:t xml:space="preserve"> </w:t>
      </w:r>
      <w:r>
        <w:t xml:space="preserve">Candidates and elected persons appear in the election results of the</w:t>
      </w:r>
      <w:r>
        <w:t xml:space="preserve"> </w:t>
      </w:r>
      <w:r>
        <w:t xml:space="preserve">“</w:t>
      </w:r>
      <w:r>
        <w:t xml:space="preserve">Political Rights</w:t>
      </w:r>
      <w:r>
        <w:t xml:space="preserve">”</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numPr>
          <w:ilvl w:val="0"/>
          <w:numId w:val="1004"/>
        </w:numPr>
        <w:pStyle w:val="Compact"/>
      </w:pPr>
      <w:r>
        <w:rPr>
          <w:bCs/>
          <w:b/>
        </w:rPr>
        <w:t xml:space="preserve">Person</w:t>
      </w:r>
      <w:r>
        <w:t xml:space="preserve"> </w:t>
      </w:r>
      <w:r>
        <w:t xml:space="preserve">– Natural persons in the political context</w:t>
      </w:r>
    </w:p>
    <w:p>
      <w:pPr>
        <w:numPr>
          <w:ilvl w:val="0"/>
          <w:numId w:val="1004"/>
        </w:numPr>
        <w:pStyle w:val="Compact"/>
      </w:pPr>
      <w:r>
        <w:rPr>
          <w:bCs/>
          <w:b/>
        </w:rPr>
        <w:t xml:space="preserve">Group</w:t>
      </w:r>
      <w:r>
        <w:t xml:space="preserve"> </w:t>
      </w:r>
      <w:r>
        <w:t xml:space="preserve">– Committees, parties, parliamentary groups, councils, commissions, organisations, etc.</w:t>
      </w:r>
    </w:p>
    <w:p>
      <w:pPr>
        <w:numPr>
          <w:ilvl w:val="0"/>
          <w:numId w:val="1004"/>
        </w:numPr>
        <w:pStyle w:val="Compact"/>
      </w:pPr>
      <w:r>
        <w:rPr>
          <w:bCs/>
          <w:b/>
        </w:rPr>
        <w:t xml:space="preserve">Membership</w:t>
      </w:r>
      <w:r>
        <w:t xml:space="preserve"> </w:t>
      </w:r>
      <w:r>
        <w:t xml:space="preserve">– Link between persons and groups</w:t>
      </w:r>
    </w:p>
    <w:p>
      <w:pPr>
        <w:numPr>
          <w:ilvl w:val="0"/>
          <w:numId w:val="1004"/>
        </w:numPr>
        <w:pStyle w:val="Compact"/>
      </w:pPr>
      <w:r>
        <w:rPr>
          <w:bCs/>
          <w:b/>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numPr>
          <w:ilvl w:val="0"/>
          <w:numId w:val="1005"/>
        </w:numPr>
        <w:pStyle w:val="Compact"/>
      </w:pPr>
      <w:r>
        <w:rPr>
          <w:bCs/>
          <w:b/>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numPr>
          <w:ilvl w:val="0"/>
          <w:numId w:val="1005"/>
        </w:numPr>
        <w:pStyle w:val="Compact"/>
      </w:pPr>
      <w:r>
        <w:rPr>
          <w:bCs/>
          <w:b/>
        </w:rPr>
        <w:t xml:space="preserve">Mandatory display name (</w:t>
      </w:r>
      <w:r>
        <w:rPr>
          <w:rStyle w:val="VerbatimChar"/>
          <w:bCs/>
          <w:b/>
        </w:rPr>
        <w:t xml:space="preserve">label</w:t>
      </w:r>
      <w:r>
        <w:rPr>
          <w:bCs/>
          <w:b/>
        </w:rPr>
        <w:t xml:space="preserve">) alongside structured names (</w:t>
      </w:r>
      <w:r>
        <w:rPr>
          <w:rStyle w:val="VerbatimChar"/>
          <w:bCs/>
          <w:b/>
        </w:rPr>
        <w:t xml:space="preserve">names</w:t>
      </w:r>
      <w:r>
        <w:rPr>
          <w:bCs/>
          <w:b/>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numPr>
          <w:ilvl w:val="0"/>
          <w:numId w:val="1005"/>
        </w:numPr>
        <w:pStyle w:val="Compact"/>
      </w:pPr>
      <w:r>
        <w:rPr>
          <w:bCs/>
          <w:b/>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numPr>
          <w:ilvl w:val="0"/>
          <w:numId w:val="1005"/>
        </w:numPr>
        <w:pStyle w:val="Compact"/>
      </w:pPr>
      <w:r>
        <w:rPr>
          <w:rStyle w:val="VerbatimChar"/>
          <w:bCs/>
          <w:b/>
        </w:rPr>
        <w:t xml:space="preserve">birth_year</w:t>
      </w:r>
      <w:r>
        <w:rPr>
          <w:bCs/>
          <w:b/>
        </w:rPr>
        <w:t xml:space="preserve"> </w:t>
      </w:r>
      <w:r>
        <w:rPr>
          <w:bCs/>
          <w:b/>
        </w:rPr>
        <w:t xml:space="preserve">as a data-minimising alternative to</w:t>
      </w:r>
      <w:r>
        <w:rPr>
          <w:bCs/>
          <w:b/>
        </w:rPr>
        <w:t xml:space="preserve"> </w:t>
      </w:r>
      <w:r>
        <w:rPr>
          <w:rStyle w:val="VerbatimChar"/>
          <w:bCs/>
          <w:b/>
        </w:rPr>
        <w:t xml:space="preserve">birth_date</w:t>
      </w:r>
      <w:r>
        <w:rPr>
          <w:bCs/>
          <w:b/>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numPr>
          <w:ilvl w:val="0"/>
          <w:numId w:val="1005"/>
        </w:numPr>
        <w:pStyle w:val="Compact"/>
      </w:pPr>
      <w:r>
        <w:rPr>
          <w:bCs/>
          <w:b/>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numPr>
          <w:ilvl w:val="0"/>
          <w:numId w:val="1005"/>
        </w:numPr>
        <w:pStyle w:val="Compact"/>
      </w:pPr>
      <w:r>
        <w:rPr>
          <w:bCs/>
          <w:b/>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Cs/>
          <w:b/>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6">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7">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8">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39">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0">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1">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2">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3">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4">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5">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49"/>
    <w:bookmarkStart w:id="50"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59"/>
    <w:bookmarkEnd w:id="60"/>
    <w:bookmarkStart w:id="65"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1"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2"/>
    <w:bookmarkStart w:id="64" w:name="examples-1"/>
    <w:p>
      <w:pPr>
        <w:pStyle w:val="berschrift3"/>
      </w:pPr>
      <w:r>
        <w:t xml:space="preserve">Examples</w:t>
      </w:r>
    </w:p>
    <w:bookmarkStart w:id="63"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3"/>
    <w:bookmarkEnd w:id="64"/>
    <w:bookmarkEnd w:id="65"/>
    <w:bookmarkStart w:id="68"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7"/>
    <w:bookmarkEnd w:id="68"/>
    <w:bookmarkStart w:id="113"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69">
        <w:r>
          <w:rPr>
            <w:rStyle w:val="Hyperlink"/>
          </w:rPr>
          <w:t xml:space="preserve">act:TrainingTypeEnum</w:t>
        </w:r>
      </w:hyperlink>
    </w:p>
    <w:bookmarkStart w:id="112"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7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7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7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8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8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8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9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9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9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0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0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0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2"/>
    <w:bookmarkEnd w:id="113"/>
    <w:bookmarkStart w:id="118"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4"/>
    <w:bookmarkStart w:id="115"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5"/>
    <w:bookmarkStart w:id="117" w:name="examples-2"/>
    <w:p>
      <w:pPr>
        <w:pStyle w:val="berschrift3"/>
      </w:pPr>
      <w:r>
        <w:t xml:space="preserve">Examples</w:t>
      </w:r>
    </w:p>
    <w:bookmarkStart w:id="116"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6"/>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numPr>
          <w:ilvl w:val="0"/>
          <w:numId w:val="1006"/>
        </w:numPr>
        <w:pStyle w:val="Compact"/>
      </w:pPr>
      <w:r>
        <w:rPr>
          <w:bCs/>
          <w:b/>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Cs/>
          <w:i/>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numPr>
          <w:ilvl w:val="0"/>
          <w:numId w:val="1006"/>
        </w:numPr>
        <w:pStyle w:val="Compact"/>
      </w:pPr>
      <w:r>
        <w:rPr>
          <w:bCs/>
          <w:b/>
        </w:rPr>
        <w:t xml:space="preserve">Groups and sub-groups via</w:t>
      </w:r>
      <w:r>
        <w:rPr>
          <w:bCs/>
          <w:b/>
        </w:rPr>
        <w:t xml:space="preserve"> </w:t>
      </w:r>
      <w:r>
        <w:rPr>
          <w:rStyle w:val="VerbatimChar"/>
          <w:bCs/>
          <w:b/>
        </w:rPr>
        <w:t xml:space="preserve">parent_groups</w:t>
      </w:r>
      <w:r>
        <w:rPr>
          <w:bCs/>
          <w:b/>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numPr>
          <w:ilvl w:val="0"/>
          <w:numId w:val="1006"/>
        </w:numPr>
        <w:pStyle w:val="Compact"/>
      </w:pPr>
      <w:r>
        <w:rPr>
          <w:bCs/>
          <w:b/>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2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2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2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3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3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3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47">
              <w:r>
                <w:rPr>
                  <w:rStyle w:val="Hyperlink"/>
                </w:rPr>
                <w:t xml:space="preserve">act:enum/group_type/other</w:t>
              </w:r>
            </w:hyperlink>
          </w:p>
        </w:tc>
      </w:tr>
    </w:tbl>
    <w:bookmarkEnd w:id="148"/>
    <w:p>
      <w:r>
        <w:br w:type="page"/>
      </w:r>
    </w:p>
    <w:bookmarkEnd w:id="149"/>
    <w:bookmarkEnd w:id="150"/>
    <w:bookmarkStart w:id="160"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numPr>
          <w:ilvl w:val="0"/>
          <w:numId w:val="1007"/>
        </w:numPr>
        <w:pStyle w:val="Compact"/>
      </w:pPr>
      <w:r>
        <w:rPr>
          <w:bCs/>
          <w:b/>
        </w:rPr>
        <w:t xml:space="preserve">Distinction from interest links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records the</w:t>
      </w:r>
      <w:r>
        <w:t xml:space="preserve"> </w:t>
      </w:r>
      <w:r>
        <w:rPr>
          <w:iCs/>
          <w:i/>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Cs/>
          <w:i/>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numPr>
          <w:ilvl w:val="0"/>
          <w:numId w:val="1007"/>
        </w:numPr>
        <w:pStyle w:val="Compact"/>
      </w:pPr>
      <w:r>
        <w:rPr>
          <w:bCs/>
          <w:b/>
        </w:rPr>
        <w:t xml:space="preserve">References with snapshot instead of embedding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numPr>
          <w:ilvl w:val="0"/>
          <w:numId w:val="1007"/>
        </w:numPr>
        <w:pStyle w:val="Compact"/>
      </w:pPr>
      <w:r>
        <w:rPr>
          <w:bCs/>
          <w:b/>
        </w:rPr>
        <w:t xml:space="preserve">Activity explicit or derived (</w:t>
      </w:r>
      <w:r>
        <w:rPr>
          <w:rStyle w:val="VerbatimChar"/>
          <w:bCs/>
          <w:b/>
        </w:rPr>
        <w:t xml:space="preserve">is_active</w:t>
      </w:r>
      <w:r>
        <w:rPr>
          <w:bCs/>
          <w:b/>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Membership ≠ voting right (</w:t>
      </w:r>
      <w:r>
        <w:rPr>
          <w:rStyle w:val="VerbatimChar"/>
          <w:bCs/>
          <w:b/>
        </w:rPr>
        <w:t xml:space="preserve">authorized_to_vote</w:t>
      </w:r>
      <w:r>
        <w:rPr>
          <w:bCs/>
          <w:b/>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numPr>
          <w:ilvl w:val="0"/>
          <w:numId w:val="1007"/>
        </w:numPr>
        <w:pStyle w:val="Compact"/>
      </w:pPr>
      <w:r>
        <w:rPr>
          <w:bCs/>
          <w:b/>
        </w:rPr>
        <w:t xml:space="preserve">Role as a controlled vocabulary with free-text option (</w:t>
      </w:r>
      <w:r>
        <w:rPr>
          <w:rStyle w:val="VerbatimChar"/>
          <w:bCs/>
          <w:b/>
        </w:rPr>
        <w:t xml:space="preserve">role_type</w:t>
      </w:r>
      <w:r>
        <w:rPr>
          <w:bCs/>
          <w:b/>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2"/>
    <w:bookmarkEnd w:id="153"/>
    <w:bookmarkStart w:id="156" w:name="class-roletype"/>
    <w:p>
      <w:pPr>
        <w:pStyle w:val="berschrift2"/>
      </w:pPr>
      <w:r>
        <w:t xml:space="preserve">Class: RoleType</w:t>
      </w:r>
    </w:p>
    <w:p>
      <w:pPr>
        <w:pStyle w:val="FirstParagraph"/>
      </w:pPr>
      <w:r>
        <w:rPr>
          <w:iCs/>
          <w:i/>
        </w:rPr>
        <w:t xml:space="preserve">Role of a person in a membership or function (e.g., member, president, deputy). If a role is not listed in the proposed RoleEnum vocabulary, the value</w:t>
      </w:r>
      <w:r>
        <w:rPr>
          <w:iCs/>
          <w:i/>
        </w:rPr>
        <w:t xml:space="preserve"> </w:t>
      </w:r>
      <w:r>
        <w:rPr>
          <w:iCs/>
          <w:i/>
        </w:rPr>
        <w:t xml:space="preserve">‘</w:t>
      </w:r>
      <w:r>
        <w:rPr>
          <w:iCs/>
          <w:i/>
        </w:rPr>
        <w:t xml:space="preserve">other</w:t>
      </w:r>
      <w:r>
        <w:rPr>
          <w:iCs/>
          <w:i/>
        </w:rPr>
        <w:t xml:space="preserve">’</w:t>
      </w:r>
      <w:r>
        <w:rPr>
          <w:iCs/>
          <w:i/>
        </w:rPr>
        <w:t xml:space="preserve"> </w:t>
      </w:r>
      <w:r>
        <w:rPr>
          <w:iCs/>
          <w:i/>
        </w:rPr>
        <w:t xml:space="preserve">can be used, and a descriptive label should be provided in the</w:t>
      </w:r>
      <w:r>
        <w:rPr>
          <w:iCs/>
          <w:i/>
        </w:rPr>
        <w:t xml:space="preserve"> </w:t>
      </w:r>
      <w:r>
        <w:rPr>
          <w:rStyle w:val="VerbatimChar"/>
          <w:iCs/>
          <w:i/>
        </w:rPr>
        <w:t xml:space="preserve">role_label</w:t>
      </w:r>
      <w:r>
        <w:rPr>
          <w:iCs/>
          <w:i/>
        </w:rPr>
        <w:t xml:space="preserve"> </w:t>
      </w:r>
      <w:r>
        <w:rPr>
          <w:iCs/>
          <w:i/>
        </w:rPr>
        <w:t xml:space="preserve">slot. The label can also be used when a specific name is needed, even if a fitting semantic value exists in</w:t>
      </w:r>
      <w:r>
        <w:rPr>
          <w:iCs/>
          <w:i/>
        </w:rPr>
        <w:t xml:space="preserve"> </w:t>
      </w:r>
      <w:r>
        <w:rPr>
          <w:rStyle w:val="VerbatimChar"/>
          <w:iCs/>
          <w:i/>
        </w:rPr>
        <w:t xml:space="preserve">role_type_enum</w:t>
      </w:r>
      <w:r>
        <w:rPr>
          <w:iCs/>
          <w:i/>
        </w:rPr>
        <w:t xml:space="preserve">; it should be provided when</w:t>
      </w:r>
      <w:r>
        <w:rPr>
          <w:iCs/>
          <w:i/>
        </w:rPr>
        <w:t xml:space="preserve"> </w:t>
      </w:r>
      <w:r>
        <w:rPr>
          <w:rStyle w:val="VerbatimChar"/>
          <w:iCs/>
          <w:i/>
        </w:rPr>
        <w:t xml:space="preserve">role_type_enum</w:t>
      </w:r>
      <w:r>
        <w:rPr>
          <w:iCs/>
          <w:i/>
        </w:rPr>
        <w:t xml:space="preserve"> </w:t>
      </w:r>
      <w:r>
        <w:rPr>
          <w:iCs/>
          <w:i/>
        </w:rPr>
        <w:t xml:space="preserve">is set to</w:t>
      </w:r>
      <w:r>
        <w:rPr>
          <w:iCs/>
          <w:i/>
        </w:rPr>
        <w:t xml:space="preserve"> </w:t>
      </w:r>
      <w:r>
        <w:rPr>
          <w:iCs/>
          <w:i/>
        </w:rPr>
        <w:t xml:space="preserve">‘</w:t>
      </w:r>
      <w:r>
        <w:rPr>
          <w:iCs/>
          <w:i/>
        </w:rPr>
        <w:t xml:space="preserve">other</w:t>
      </w:r>
      <w:r>
        <w:rPr>
          <w:iCs/>
          <w:i/>
        </w:rPr>
        <w:t xml:space="preserve">’</w:t>
      </w:r>
      <w:r>
        <w:rPr>
          <w:iCs/>
          <w:i/>
        </w:rPr>
        <w:t xml:space="preserve">.</w:t>
      </w:r>
    </w:p>
    <w:p>
      <w:pPr>
        <w:pStyle w:val="Textkrper"/>
      </w:pPr>
      <w:r>
        <w:t xml:space="preserve">__</w:t>
      </w:r>
    </w:p>
    <w:bookmarkStart w:id="154"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role_type_enum</w:t>
            </w:r>
          </w:p>
        </w:tc>
        <w:tc>
          <w:tcPr/>
          <w:p>
            <w:pPr>
              <w:pStyle w:val="Compact"/>
              <w:jc w:val="left"/>
            </w:pPr>
            <w:r>
              <w:t xml:space="preserve">0..1</w:t>
            </w:r>
            <w:r>
              <w:t xml:space="preserve"> </w:t>
            </w:r>
            <w:r>
              <w:t xml:space="preserve"> </w:t>
            </w:r>
            <w:hyperlink w:anchor="RoleEnum">
              <w:r>
                <w:rPr>
                  <w:rStyle w:val="Hyperlink"/>
                </w:rPr>
                <w:t xml:space="preserve">RoleEnum</w:t>
              </w:r>
            </w:hyperlink>
          </w:p>
        </w:tc>
        <w:tc>
          <w:tcPr/>
          <w:p>
            <w:pPr>
              <w:pStyle w:val="Compact"/>
              <w:jc w:val="left"/>
            </w:pPr>
            <w:r>
              <w:t xml:space="preserve">Role of the person in the membership or function.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w:t>
            </w:r>
            <w:r>
              <w:t xml:space="preserve">other</w:t>
            </w:r>
            <w:r>
              <w:t xml:space="preserve">’</w:t>
            </w:r>
            <w:r>
              <w:t xml:space="preserve">.</w:t>
            </w:r>
          </w:p>
        </w:tc>
      </w:tr>
    </w:tbl>
    <w:bookmarkEnd w:id="154"/>
    <w:bookmarkStart w:id="155"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role_type">
              <w:r>
                <w:rPr>
                  <w:rStyle w:val="Hyperlink"/>
                </w:rPr>
                <w:t xml:space="preserve">role_type</w:t>
              </w:r>
            </w:hyperlink>
          </w:p>
        </w:tc>
        <w:tc>
          <w:tcPr/>
          <w:p>
            <w:pPr>
              <w:pStyle w:val="Compact"/>
              <w:jc w:val="left"/>
            </w:pPr>
            <w:r>
              <w:t xml:space="preserve">range</w:t>
            </w:r>
          </w:p>
        </w:tc>
        <w:tc>
          <w:tcPr/>
          <w:p>
            <w:pPr>
              <w:pStyle w:val="Compact"/>
              <w:jc w:val="left"/>
            </w:pPr>
            <w:hyperlink w:anchor="RoleType">
              <w:r>
                <w:rPr>
                  <w:rStyle w:val="Hyperlink"/>
                </w:rPr>
                <w:t xml:space="preserve">RoleType</w:t>
              </w:r>
            </w:hyperlink>
          </w:p>
        </w:tc>
      </w:tr>
    </w:tbl>
    <w:bookmarkEnd w:id="155"/>
    <w:bookmarkEnd w:id="156"/>
    <w:bookmarkStart w:id="159" w:name="enum-roleenum"/>
    <w:p>
      <w:pPr>
        <w:pStyle w:val="berschrift2"/>
      </w:pPr>
      <w:r>
        <w:t xml:space="preserve">Enum: RoleEnum</w:t>
      </w:r>
    </w:p>
    <w:p>
      <w:pPr>
        <w:pStyle w:val="FirstParagraph"/>
      </w:pPr>
      <w:r>
        <w:rPr>
          <w:iCs/>
          <w:i/>
        </w:rPr>
        <w:t xml:space="preserve">Roles a person can have within a membership.</w:t>
      </w:r>
    </w:p>
    <w:p>
      <w:pPr>
        <w:pStyle w:val="Textkrper"/>
      </w:pPr>
      <w:r>
        <w:t xml:space="preserve">__</w:t>
      </w:r>
    </w:p>
    <w:p>
      <w:pPr>
        <w:pStyle w:val="Textkrper"/>
      </w:pPr>
      <w:r>
        <w:t xml:space="preserve">URI:</w:t>
      </w:r>
      <w:r>
        <w:t xml:space="preserve"> </w:t>
      </w:r>
      <w:hyperlink r:id="rId157">
        <w:r>
          <w:rPr>
            <w:rStyle w:val="Hyperlink"/>
          </w:rPr>
          <w:t xml:space="preserve">act:RoleEnum</w:t>
        </w:r>
      </w:hyperlink>
    </w:p>
    <w:bookmarkStart w:id="158" w:name="permissible-values-4"/>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member</w:t>
            </w:r>
          </w:p>
        </w:tc>
        <w:tc>
          <w:tcPr/>
          <w:p>
            <w:pPr>
              <w:pStyle w:val="Compact"/>
              <w:jc w:val="left"/>
            </w:pPr>
            <w:r>
              <w:t xml:space="preserve">Regular member (default).</w:t>
            </w:r>
          </w:p>
        </w:tc>
      </w:tr>
      <w:tr>
        <w:tc>
          <w:tcPr/>
          <w:p>
            <w:pPr>
              <w:pStyle w:val="Compact"/>
            </w:pPr>
          </w:p>
        </w:tc>
        <w:tc>
          <w:tcPr/>
          <w:p>
            <w:pPr>
              <w:pStyle w:val="Compact"/>
            </w:pPr>
          </w:p>
        </w:tc>
      </w:tr>
      <w:tr>
        <w:tc>
          <w:tcPr/>
          <w:p>
            <w:pPr>
              <w:pStyle w:val="Compact"/>
              <w:jc w:val="left"/>
            </w:pPr>
            <w:r>
              <w:t xml:space="preserve">president</w:t>
            </w:r>
          </w:p>
        </w:tc>
        <w:tc>
          <w:tcPr/>
          <w:p>
            <w:pPr>
              <w:pStyle w:val="Compact"/>
              <w:jc w:val="left"/>
            </w:pPr>
            <w:r>
              <w:t xml:space="preserve">President or chair of the group.</w:t>
            </w:r>
          </w:p>
        </w:tc>
      </w:tr>
      <w:tr>
        <w:tc>
          <w:tcPr/>
          <w:p>
            <w:pPr>
              <w:pStyle w:val="Compact"/>
            </w:pPr>
          </w:p>
        </w:tc>
        <w:tc>
          <w:tcPr/>
          <w:p>
            <w:pPr>
              <w:pStyle w:val="Compact"/>
            </w:pPr>
          </w:p>
        </w:tc>
      </w:tr>
      <w:tr>
        <w:tc>
          <w:tcPr/>
          <w:p>
            <w:pPr>
              <w:pStyle w:val="Compact"/>
              <w:jc w:val="left"/>
            </w:pPr>
            <w:r>
              <w:t xml:space="preserve">stellvertreter</w:t>
            </w:r>
          </w:p>
        </w:tc>
        <w:tc>
          <w:tcPr/>
          <w:p>
            <w:pPr>
              <w:pStyle w:val="Compact"/>
              <w:jc w:val="left"/>
            </w:pPr>
            <w:r>
              <w:t xml:space="preserve">Deputy/vice role (stellvertreter).</w:t>
            </w:r>
          </w:p>
        </w:tc>
      </w:tr>
      <w:tr>
        <w:tc>
          <w:tcPr/>
          <w:p>
            <w:pPr>
              <w:pStyle w:val="Compact"/>
            </w:pPr>
          </w:p>
        </w:tc>
        <w:tc>
          <w:tcPr/>
          <w:p>
            <w:pPr>
              <w:pStyle w:val="Compact"/>
            </w:pPr>
          </w:p>
        </w:tc>
      </w:tr>
      <w:tr>
        <w:tc>
          <w:tcPr/>
          <w:p>
            <w:pPr>
              <w:pStyle w:val="Compact"/>
              <w:jc w:val="left"/>
            </w:pPr>
            <w:r>
              <w:t xml:space="preserve">other</w:t>
            </w:r>
          </w:p>
        </w:tc>
        <w:tc>
          <w:tcPr/>
          <w:p>
            <w:pPr>
              <w:pStyle w:val="Compact"/>
              <w:jc w:val="left"/>
            </w:pPr>
            <w:r>
              <w:t xml:space="preserve">Other role; use role_label for a descriptive label.</w:t>
            </w:r>
          </w:p>
        </w:tc>
      </w:tr>
      <w:tr>
        <w:tc>
          <w:tcPr/>
          <w:p>
            <w:pPr>
              <w:pStyle w:val="Compact"/>
            </w:pPr>
          </w:p>
        </w:tc>
        <w:tc>
          <w:tcPr/>
          <w:p>
            <w:pPr>
              <w:pStyle w:val="Compact"/>
            </w:pPr>
          </w:p>
        </w:tc>
      </w:tr>
    </w:tbl>
    <w:bookmarkEnd w:id="158"/>
    <w:p>
      <w:r>
        <w:br w:type="page"/>
      </w:r>
    </w:p>
    <w:bookmarkEnd w:id="159"/>
    <w:bookmarkEnd w:id="160"/>
    <w:bookmarkStart w:id="22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r:id="rId161">
        <w:r>
          <w:rPr>
            <w:rStyle w:val="Hyperlink"/>
          </w:rPr>
          <w:t xml:space="preserve">Federal Assembly – Interest Links</w:t>
        </w:r>
      </w:hyperlink>
      <w:r>
        <w:t xml:space="preserve">.</w:t>
      </w:r>
    </w:p>
    <w:p>
      <w:pPr>
        <w:numPr>
          <w:ilvl w:val="0"/>
          <w:numId w:val="1008"/>
        </w:numPr>
        <w:pStyle w:val="Compact"/>
      </w:pPr>
      <w:r>
        <w:rPr>
          <w:bCs/>
          <w:b/>
        </w:rPr>
        <w:t xml:space="preserve">Distinction from memberships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represents links to organisations</w:t>
      </w:r>
      <w:r>
        <w:t xml:space="preserve"> </w:t>
      </w:r>
      <w:r>
        <w:rPr>
          <w:iCs/>
          <w:i/>
        </w:rPr>
        <w:t xml:space="preserve">outside</w:t>
      </w:r>
      <w:r>
        <w:t xml:space="preserve"> </w:t>
      </w:r>
      <w:r>
        <w:t xml:space="preserve">the actor schema (conflicts of interest, political financing) – in contrast to the formal affiliation</w:t>
      </w:r>
      <w:r>
        <w:t xml:space="preserve"> </w:t>
      </w:r>
      <w:r>
        <w:rPr>
          <w:iCs/>
          <w:i/>
        </w:rPr>
        <w:t xml:space="preserve">within</w:t>
      </w:r>
      <w:r>
        <w:t xml:space="preserve"> </w:t>
      </w:r>
      <w:r>
        <w:t xml:space="preserve">the schema, which is recorded via</w:t>
      </w:r>
      <w:r>
        <w:t xml:space="preserve"> </w:t>
      </w:r>
      <w:r>
        <w:rPr>
          <w:rStyle w:val="VerbatimChar"/>
        </w:rPr>
        <w:t xml:space="preserve">Membership</w:t>
      </w:r>
      <w:r>
        <w:t xml:space="preserve">.</w:t>
      </w:r>
    </w:p>
    <w:p>
      <w:pPr>
        <w:numPr>
          <w:ilvl w:val="0"/>
          <w:numId w:val="1008"/>
        </w:numPr>
        <w:pStyle w:val="Compact"/>
      </w:pPr>
      <w:r>
        <w:rPr>
          <w:bCs/>
          <w:b/>
        </w:rPr>
        <w:t xml:space="preserve">Mandatory classification (</w:t>
      </w:r>
      <w:r>
        <w:rPr>
          <w:rStyle w:val="VerbatimChar"/>
          <w:bCs/>
          <w:b/>
        </w:rPr>
        <w:t xml:space="preserve">interest_type</w:t>
      </w:r>
      <w:r>
        <w:rPr>
          <w:bCs/>
          <w:b/>
        </w:rPr>
        <w:t xml:space="preserve">):</w:t>
      </w:r>
      <w:r>
        <w:t xml:space="preserve"> </w:t>
      </w:r>
      <w:r>
        <w:t xml:space="preserve">Every link is mandatorily categorised by type (professional activity, political offices, association), based on the disclosure categories of the Federal Assembly.</w:t>
      </w:r>
    </w:p>
    <w:p>
      <w:pPr>
        <w:numPr>
          <w:ilvl w:val="0"/>
          <w:numId w:val="1008"/>
        </w:numPr>
        <w:pStyle w:val="Compact"/>
      </w:pPr>
      <w:r>
        <w:rPr>
          <w:bCs/>
          <w:b/>
        </w:rPr>
        <w:t xml:space="preserve">Organisation referenceable via UID (</w:t>
      </w:r>
      <w:r>
        <w:rPr>
          <w:rStyle w:val="VerbatimChar"/>
          <w:bCs/>
          <w:b/>
        </w:rPr>
        <w:t xml:space="preserve">organization_uid</w:t>
      </w:r>
      <w:r>
        <w:rPr>
          <w:bCs/>
          <w:b/>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numPr>
          <w:ilvl w:val="0"/>
          <w:numId w:val="1008"/>
        </w:numPr>
        <w:pStyle w:val="Compact"/>
      </w:pPr>
      <w:r>
        <w:rPr>
          <w:bCs/>
          <w:b/>
        </w:rPr>
        <w:t xml:space="preserve">Scope and remuneration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In addition to the committee and function within the organisation, it is explicitly recorded whether the position is paid – a central transparency aspect.</w:t>
      </w:r>
    </w:p>
    <w:bookmarkStart w:id="176"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2"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amples-3"/>
    <w:p>
      <w:pPr>
        <w:pStyle w:val="berschrift3"/>
      </w:pPr>
      <w:r>
        <w:t xml:space="preserve">Examples</w:t>
      </w:r>
    </w:p>
    <w:bookmarkStart w:id="164"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4"/>
    <w:bookmarkStart w:id="165"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permissible-values-6"/>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4" w:name="shared-elements"/>
    <w:p>
      <w:pPr>
        <w:pStyle w:val="berschrift1"/>
      </w:pPr>
      <w:r>
        <w:t xml:space="preserve">Shared Elements</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Cs/>
          <w:b/>
        </w:rPr>
        <w:t xml:space="preserve">locally</w:t>
      </w:r>
      <w:r>
        <w:t xml:space="preserve"> </w:t>
      </w:r>
      <w:r>
        <w:t xml:space="preserve">within another entity. In addition to the actual link to the complete entity, only the relevant information at the</w:t>
      </w:r>
      <w:r>
        <w:t xml:space="preserve"> </w:t>
      </w:r>
      <w:r>
        <w:rPr>
          <w:bCs/>
          <w:b/>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Cs/>
          <w:b/>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numPr>
          <w:ilvl w:val="0"/>
          <w:numId w:val="1009"/>
        </w:numPr>
        <w:pStyle w:val="Compact"/>
      </w:pPr>
      <w:r>
        <w:rPr>
          <w:bCs/>
          <w:b/>
        </w:rPr>
        <w:t xml:space="preserve">Useful local data</w:t>
      </w:r>
      <w:r>
        <w:t xml:space="preserve"> </w:t>
      </w:r>
      <w:r>
        <w:t xml:space="preserve">without costly queries of the complete entity</w:t>
      </w:r>
    </w:p>
    <w:p>
      <w:pPr>
        <w:numPr>
          <w:ilvl w:val="0"/>
          <w:numId w:val="1009"/>
        </w:numPr>
        <w:pStyle w:val="Compact"/>
      </w:pPr>
      <w:r>
        <w:rPr>
          <w:bCs/>
          <w:b/>
        </w:rPr>
        <w:t xml:space="preserve">No redundancy</w:t>
      </w:r>
      <w:r>
        <w:t xml:space="preserve">, since not all information has to be repeated at every mention</w:t>
      </w:r>
    </w:p>
    <w:p>
      <w:pPr>
        <w:numPr>
          <w:ilvl w:val="0"/>
          <w:numId w:val="1009"/>
        </w:numPr>
        <w:pStyle w:val="Compact"/>
      </w:pPr>
      <w:r>
        <w:rPr>
          <w:bCs/>
          <w:b/>
        </w:rPr>
        <w:t xml:space="preserve">Implicit versioning</w:t>
      </w:r>
      <w:r>
        <w:t xml:space="preserve">, since the local reference remains unchanged even if the linked entity changes later</w:t>
      </w:r>
    </w:p>
    <w:bookmarkEnd w:id="225"/>
    <w:bookmarkStart w:id="228"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9"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reused-classes"/>
    <w:p>
      <w:pPr>
        <w:pStyle w:val="berschrift2"/>
      </w:pPr>
      <w:r>
        <w:t xml:space="preserve">Reused Classes</w:t>
      </w:r>
    </w:p>
    <w:bookmarkEnd w:id="232"/>
    <w:bookmarkStart w:id="237"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3"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3"/>
    <w:bookmarkStart w:id="234"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6" w:name="examples-4"/>
    <w:p>
      <w:pPr>
        <w:pStyle w:val="berschrift3"/>
      </w:pPr>
      <w:r>
        <w:t xml:space="preserve">Examples</w:t>
      </w:r>
    </w:p>
    <w:bookmarkStart w:id="235"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End w:id="236"/>
    <w:bookmarkEnd w:id="237"/>
    <w:bookmarkStart w:id="240"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8">
        <w:r>
          <w:rPr>
            <w:rStyle w:val="Hyperlink"/>
          </w:rPr>
          <w:t xml:space="preserve">act:AddressTypeEnum</w:t>
        </w:r>
      </w:hyperlink>
    </w:p>
    <w:bookmarkStart w:id="239" w:name="permissible-values-7"/>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39"/>
    <w:bookmarkEnd w:id="240"/>
    <w:bookmarkStart w:id="243"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1" w:name="attribute-1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1"/>
    <w:bookmarkStart w:id="242" w:name="usages-1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2"/>
    <w:bookmarkEnd w:id="243"/>
    <w:bookmarkEnd w:id="24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tblStylePr w:type="band1Horz">
      <w:tcPr>
        <w:shd w:color="auto" w:fill="F2F2F2" w:val="clear"/>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8"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7" Target="https://ld.ech.ch/schema/0294/actors/RoleEnum" TargetMode="External" /><Relationship Type="http://schemas.openxmlformats.org/officeDocument/2006/relationships/hyperlink" Id="rId69" Target="https://ld.ech.ch/schema/0294/actors/TrainingTypeEnum" TargetMode="External" /><Relationship Type="http://schemas.openxmlformats.org/officeDocument/2006/relationships/hyperlink" Id="rId70" Target="https://register.ld.admin.ch/i14y/concept/LEVEL_EDUC/10" TargetMode="External" /><Relationship Type="http://schemas.openxmlformats.org/officeDocument/2006/relationships/hyperlink" Id="rId71" Target="https://register.ld.admin.ch/i14y/concept/LEVEL_EDUC/110" TargetMode="External" /><Relationship Type="http://schemas.openxmlformats.org/officeDocument/2006/relationships/hyperlink" Id="rId72" Target="https://register.ld.admin.ch/i14y/concept/LEVEL_EDUC/120" TargetMode="External" /><Relationship Type="http://schemas.openxmlformats.org/officeDocument/2006/relationships/hyperlink" Id="rId73" Target="https://register.ld.admin.ch/i14y/concept/LEVEL_EDUC/130" TargetMode="External" /><Relationship Type="http://schemas.openxmlformats.org/officeDocument/2006/relationships/hyperlink" Id="rId74" Target="https://register.ld.admin.ch/i14y/concept/LEVEL_EDUC/140" TargetMode="External" /><Relationship Type="http://schemas.openxmlformats.org/officeDocument/2006/relationships/hyperlink" Id="rId75" Target="https://register.ld.admin.ch/i14y/concept/LEVEL_EDUC/20" TargetMode="External" /><Relationship Type="http://schemas.openxmlformats.org/officeDocument/2006/relationships/hyperlink" Id="rId76" Target="https://register.ld.admin.ch/i14y/concept/LEVEL_EDUC/22" TargetMode="External" /><Relationship Type="http://schemas.openxmlformats.org/officeDocument/2006/relationships/hyperlink" Id="rId77" Target="https://register.ld.admin.ch/i14y/concept/LEVEL_EDUC/220" TargetMode="External" /><Relationship Type="http://schemas.openxmlformats.org/officeDocument/2006/relationships/hyperlink" Id="rId78" Target="https://register.ld.admin.ch/i14y/concept/LEVEL_EDUC/2210" TargetMode="External" /><Relationship Type="http://schemas.openxmlformats.org/officeDocument/2006/relationships/hyperlink" Id="rId79" Target="https://register.ld.admin.ch/i14y/concept/LEVEL_EDUC/2211" TargetMode="External" /><Relationship Type="http://schemas.openxmlformats.org/officeDocument/2006/relationships/hyperlink" Id="rId80" Target="https://register.ld.admin.ch/i14y/concept/LEVEL_EDUC/2212" TargetMode="External" /><Relationship Type="http://schemas.openxmlformats.org/officeDocument/2006/relationships/hyperlink" Id="rId81" Target="https://register.ld.admin.ch/i14y/concept/LEVEL_EDUC/2220" TargetMode="External" /><Relationship Type="http://schemas.openxmlformats.org/officeDocument/2006/relationships/hyperlink" Id="rId82" Target="https://register.ld.admin.ch/i14y/concept/LEVEL_EDUC/2221" TargetMode="External" /><Relationship Type="http://schemas.openxmlformats.org/officeDocument/2006/relationships/hyperlink" Id="rId83" Target="https://register.ld.admin.ch/i14y/concept/LEVEL_EDUC/2222" TargetMode="External" /><Relationship Type="http://schemas.openxmlformats.org/officeDocument/2006/relationships/hyperlink" Id="rId84" Target="https://register.ld.admin.ch/i14y/concept/LEVEL_EDUC/24" TargetMode="External" /><Relationship Type="http://schemas.openxmlformats.org/officeDocument/2006/relationships/hyperlink" Id="rId85" Target="https://register.ld.admin.ch/i14y/concept/LEVEL_EDUC/241" TargetMode="External" /><Relationship Type="http://schemas.openxmlformats.org/officeDocument/2006/relationships/hyperlink" Id="rId86" Target="https://register.ld.admin.ch/i14y/concept/LEVEL_EDUC/2411" TargetMode="External" /><Relationship Type="http://schemas.openxmlformats.org/officeDocument/2006/relationships/hyperlink" Id="rId87" Target="https://register.ld.admin.ch/i14y/concept/LEVEL_EDUC/2412" TargetMode="External" /><Relationship Type="http://schemas.openxmlformats.org/officeDocument/2006/relationships/hyperlink" Id="rId88" Target="https://register.ld.admin.ch/i14y/concept/LEVEL_EDUC/242" TargetMode="External" /><Relationship Type="http://schemas.openxmlformats.org/officeDocument/2006/relationships/hyperlink" Id="rId89" Target="https://register.ld.admin.ch/i14y/concept/LEVEL_EDUC/2421" TargetMode="External" /><Relationship Type="http://schemas.openxmlformats.org/officeDocument/2006/relationships/hyperlink" Id="rId90" Target="https://register.ld.admin.ch/i14y/concept/LEVEL_EDUC/2422" TargetMode="External" /><Relationship Type="http://schemas.openxmlformats.org/officeDocument/2006/relationships/hyperlink" Id="rId91" Target="https://register.ld.admin.ch/i14y/concept/LEVEL_EDUC/243" TargetMode="External" /><Relationship Type="http://schemas.openxmlformats.org/officeDocument/2006/relationships/hyperlink" Id="rId92" Target="https://register.ld.admin.ch/i14y/concept/LEVEL_EDUC/2431" TargetMode="External" /><Relationship Type="http://schemas.openxmlformats.org/officeDocument/2006/relationships/hyperlink" Id="rId93" Target="https://register.ld.admin.ch/i14y/concept/LEVEL_EDUC/2432" TargetMode="External" /><Relationship Type="http://schemas.openxmlformats.org/officeDocument/2006/relationships/hyperlink" Id="rId94" Target="https://register.ld.admin.ch/i14y/concept/LEVEL_EDUC/30" TargetMode="External" /><Relationship Type="http://schemas.openxmlformats.org/officeDocument/2006/relationships/hyperlink" Id="rId95" Target="https://register.ld.admin.ch/i14y/concept/LEVEL_EDUC/31" TargetMode="External" /><Relationship Type="http://schemas.openxmlformats.org/officeDocument/2006/relationships/hyperlink" Id="rId96" Target="https://register.ld.admin.ch/i14y/concept/LEVEL_EDUC/310" TargetMode="External" /><Relationship Type="http://schemas.openxmlformats.org/officeDocument/2006/relationships/hyperlink" Id="rId97" Target="https://register.ld.admin.ch/i14y/concept/LEVEL_EDUC/311" TargetMode="External" /><Relationship Type="http://schemas.openxmlformats.org/officeDocument/2006/relationships/hyperlink" Id="rId98" Target="https://register.ld.admin.ch/i14y/concept/LEVEL_EDUC/312" TargetMode="External" /><Relationship Type="http://schemas.openxmlformats.org/officeDocument/2006/relationships/hyperlink" Id="rId99" Target="https://register.ld.admin.ch/i14y/concept/LEVEL_EDUC/313" TargetMode="External" /><Relationship Type="http://schemas.openxmlformats.org/officeDocument/2006/relationships/hyperlink" Id="rId100" Target="https://register.ld.admin.ch/i14y/concept/LEVEL_EDUC/3131" TargetMode="External" /><Relationship Type="http://schemas.openxmlformats.org/officeDocument/2006/relationships/hyperlink" Id="rId101" Target="https://register.ld.admin.ch/i14y/concept/LEVEL_EDUC/3132" TargetMode="External" /><Relationship Type="http://schemas.openxmlformats.org/officeDocument/2006/relationships/hyperlink" Id="rId102" Target="https://register.ld.admin.ch/i14y/concept/LEVEL_EDUC/32" TargetMode="External" /><Relationship Type="http://schemas.openxmlformats.org/officeDocument/2006/relationships/hyperlink" Id="rId103" Target="https://register.ld.admin.ch/i14y/concept/LEVEL_EDUC/321" TargetMode="External" /><Relationship Type="http://schemas.openxmlformats.org/officeDocument/2006/relationships/hyperlink" Id="rId104" Target="https://register.ld.admin.ch/i14y/concept/LEVEL_EDUC/3211" TargetMode="External" /><Relationship Type="http://schemas.openxmlformats.org/officeDocument/2006/relationships/hyperlink" Id="rId105" Target="https://register.ld.admin.ch/i14y/concept/LEVEL_EDUC/3212" TargetMode="External" /><Relationship Type="http://schemas.openxmlformats.org/officeDocument/2006/relationships/hyperlink" Id="rId106" Target="https://register.ld.admin.ch/i14y/concept/LEVEL_EDUC/3213" TargetMode="External" /><Relationship Type="http://schemas.openxmlformats.org/officeDocument/2006/relationships/hyperlink" Id="rId107" Target="https://register.ld.admin.ch/i14y/concept/LEVEL_EDUC/322" TargetMode="External" /><Relationship Type="http://schemas.openxmlformats.org/officeDocument/2006/relationships/hyperlink" Id="rId108" Target="https://register.ld.admin.ch/i14y/concept/LEVEL_EDUC/3221" TargetMode="External" /><Relationship Type="http://schemas.openxmlformats.org/officeDocument/2006/relationships/hyperlink" Id="rId109" Target="https://register.ld.admin.ch/i14y/concept/LEVEL_EDUC/3222" TargetMode="External" /><Relationship Type="http://schemas.openxmlformats.org/officeDocument/2006/relationships/hyperlink" Id="rId110" Target="https://register.ld.admin.ch/i14y/concept/LEVEL_EDUC/3223" TargetMode="External" /><Relationship Type="http://schemas.openxmlformats.org/officeDocument/2006/relationships/hyperlink" Id="rId111"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1"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2026-07-17T06:34:31Z</dcterms:created>
  <dcterms:modified xsi:type="dcterms:W3CDTF">2026-07-17T06:34:31Z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