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shd w:val="clear" w:color="auto" w:fill="F2F2F2"/>
          </w:tcPr>
          <w:p>
            <w:pPr>
              <w:pStyle w:val="Compact"/>
              <w:jc w:val="left"/>
            </w:pPr>
            <w:r>
              <w:rPr>
                <w:bCs/>
                <w:b/>
              </w:rPr>
              <w:t xml:space="preserve">eCH-Nummer</w:t>
            </w:r>
          </w:p>
        </w:tc>
        <w:tc>
          <w:tcPr>
            <w:shd w:val="clear" w:color="auto" w:fill="F2F2F2"/>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shd w:val="clear" w:color="auto" w:fill="F2F2F2"/>
          </w:tcPr>
          <w:p>
            <w:pPr>
              <w:pStyle w:val="Compact"/>
              <w:jc w:val="left"/>
            </w:pPr>
            <w:r>
              <w:rPr>
                <w:bCs/>
                <w:b/>
              </w:rPr>
              <w:t xml:space="preserve">Reifegrad</w:t>
            </w:r>
          </w:p>
        </w:tc>
        <w:tc>
          <w:tcPr>
            <w:shd w:val="clear" w:color="auto" w:fill="F2F2F2"/>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Beschluss am</w:t>
            </w:r>
          </w:p>
        </w:tc>
        <w:tc>
          <w:tcPr/>
          <w:p>
            <w:pPr>
              <w:pStyle w:val="Compact"/>
            </w:pPr>
          </w:p>
        </w:tc>
      </w:tr>
      <w:tr>
        <w:tc>
          <w:tcPr>
            <w:shd w:val="clear" w:color="auto" w:fill="F2F2F2"/>
          </w:tcPr>
          <w:p>
            <w:pPr>
              <w:pStyle w:val="Compact"/>
              <w:jc w:val="left"/>
            </w:pPr>
            <w:r>
              <w:rPr>
                <w:bCs/>
                <w:b/>
              </w:rPr>
              <w:t xml:space="preserve">Ausgabedatum</w:t>
            </w:r>
          </w:p>
        </w:tc>
        <w:tc>
          <w:tcPr>
            <w:shd w:val="clear" w:color="auto" w:fill="F2F2F2"/>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shd w:val="clear" w:color="auto" w:fill="F2F2F2"/>
          </w:tcPr>
          <w:p>
            <w:pPr>
              <w:pStyle w:val="Compact"/>
              <w:jc w:val="left"/>
            </w:pPr>
            <w:r>
              <w:rPr>
                <w:bCs/>
                <w:b/>
              </w:rPr>
              <w:t xml:space="preserve">Voraussetzungen</w:t>
            </w:r>
          </w:p>
        </w:tc>
        <w:tc>
          <w:tcPr>
            <w:shd w:val="clear" w:color="auto" w:fill="F2F2F2"/>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shd w:val="clear" w:color="auto" w:fill="F2F2F2"/>
          </w:tcPr>
          <w:p>
            <w:pPr>
              <w:pStyle w:val="Compact"/>
              <w:jc w:val="left"/>
            </w:pPr>
            <w:r>
              <w:rPr>
                <w:bCs/>
                <w:b/>
              </w:rPr>
              <w:t xml:space="preserve">Sprachen</w:t>
            </w:r>
          </w:p>
        </w:tc>
        <w:tc>
          <w:tcPr>
            <w:shd w:val="clear" w:color="auto" w:fill="F2F2F2"/>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Herausgeber / Vertrieb</w:t>
            </w:r>
          </w:p>
        </w:tc>
        <w:tc>
          <w:tcPr>
            <w:shd w:val="clear" w:color="auto" w:fill="F2F2F2"/>
          </w:tcPr>
          <w:p>
            <w:pPr>
              <w:pStyle w:val="Compact"/>
              <w:jc w:val="lef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Cs/>
          <w:i/>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Genaues Todesdatum.</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zu einem Bild (bevorzugt: PNG, dann JPG, dann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Adressen mit Typ (privat, geschäftlich, lokal).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Sprachkompetenzen der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Staatsbürgerschaften der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Geschlecht der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Berufe oder Tätigkeiten der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Ausbildungen oder Bildungen der Person. Richtlinie: Im Grundsatz nur die höchste Ausbildung angeben.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zum Wahlbezirk.</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Sammlung von Interessenbindungen.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Cs/>
          <w:i/>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 des Namens gemäss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w:t>
            </w:r>
            <w:r>
              <w:t xml:space="preserve">Name nach Deklaration</w:t>
            </w:r>
            <w:r>
              <w:t xml:space="preserve">”</w:t>
            </w:r>
            <w:r>
              <w:t xml:space="preserve"> </w:t>
            </w:r>
            <w:r>
              <w:t xml:space="preserve">(z. B. Asyl), wenn keine amtlichen Dokumente vorliegen). Der amtliche Name kann aus einem oder mehreren Teilen bestehen.</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w:t>
            </w:r>
            <w:r>
              <w:t xml:space="preserve">amtlichen Vornamen</w:t>
            </w:r>
            <w:r>
              <w:t xml:space="preserve">”</w:t>
            </w:r>
            <w:r>
              <w:t xml:space="preserve">) bestehen.</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Cs/>
          <w:i/>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Sprachcode im ISO 639-1 Format (zwei Kleinbuchstaben, z.B.</w:t>
            </w:r>
            <w:r>
              <w:t xml:space="preserve">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es sich um die bevorzugte Sprache handelt.</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Cs/>
          <w:i/>
        </w:rPr>
        <w:t xml:space="preserve">Staatsangehörigkeit (wird auch für Nationalität verwendet)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Ländercode.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Cs/>
          <w:i/>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Geschlechtscode. Empfohlene Werte: male, female, diverse .</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Von der Person verwendete Pronomen.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Geschlechtscodes für Personen. Wenn das Geschlecht nicht bekannt ist, soll kein Geschlechtseintrag hinzugefügt werden. Der Code</w:t>
      </w:r>
      <w:r>
        <w:rPr>
          <w:iCs/>
          <w:i/>
        </w:rPr>
        <w:t xml:space="preserve"> </w:t>
      </w:r>
      <w:r>
        <w:rPr>
          <w:rStyle w:val="VerbatimChar"/>
          <w:iCs/>
          <w:i/>
        </w:rPr>
        <w:t xml:space="preserve">diverse</w:t>
      </w:r>
      <w:r>
        <w:rPr>
          <w:iCs/>
          <w:i/>
        </w:rPr>
        <w:t xml:space="preserve"> </w:t>
      </w:r>
      <w:r>
        <w:rPr>
          <w:iCs/>
          <w:i/>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Männlich.</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Weiblich.</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Cs/>
          <w:i/>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Tätigkeit.</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Cs/>
          <w:i/>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 der Ausbildung oder Bildung.</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der Ausbildung oder Bildung.</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Der eigentliche Wert einer Information neben weiteren attributen wie Typ, Sprache,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Maximal obligatorische Schule.</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Keine Ausbildung.</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Obligatorische Schule besucht, aber nicht abgeschlossen.</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Obligatorische Schule.</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1-jährige Ausbildung / Brückenangebot.</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Sekundarstufe II.</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Sekundarstufe II - Berufsbildung.</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Berufslehre im Betrieb (EFZ / EBA) / Anlehre / Berufsschule / Handelsschule.</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2-jährige Berufslehre im Betrieb (EBA) / Anlehre / Berufsschule / Handelsschule.</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2-jährige Berufslehre im Betrieb (EBA) / Anlehre.</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2-jährige Berufsschule / Handelsschule.</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3- bis 4-jährige Berufslehre im Betrieb (EFZ) / Berufsschule / Handelsschule.</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3- bis 4-jährige Berufslehre im Betrieb (EFZ).</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3- bis 4-jährige Berufsschule / Handelsschule.</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Sekundarstufe II - Allgemeinbildung.</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Fachmittelschule / Diplommittelschule.</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2-jährige Fachmittelschule / Diplommittelschule.</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3-jährige Fachmittelschule / Diplommittelschule.</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Gymnasiale Maturität / Lehrkräfteseminar.</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Gymnasiale Maturität.</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Lehrkräfteseminar.</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Berufs- oder Fachmaturität.</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Berufsmaturität.</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Fachmaturität.</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Tertiärstufe.</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Höhere Berufsbildung.</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Berufsprüfung mit eidg. Fachausweis / Höhere Fachprüfung mit eidg. Diplom / Meisterdiplom.</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Berufsprüfung mit eidg. Fachausweis.</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Höhere Fachprüfung mit eidg. Diplom / Meisterdiplom.</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Höhere Fachschule.</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Höhere Fachschule (HF) 2 Jahre Voll- oder 3 Jahre Teilzeitstudium.</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Höhere Fachschule (HF) 3 Jahre Voll- oder 4 Jahre Teilzeitstudium.</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Hochschule.</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Universität, ETH, Fachhochschule, pädagogische Hochschule (inklusive Diplom FH / PH).</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Fachhochschule (inklusive Diplom FH).</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pädagogische Hochschule (inklusive Diplom PH).</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Universität, ETH.</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Universität, ETH, Fachhochschule, pädagogische Hochschule (inklusive Lizentiat / Diplom).</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Fachhochschule.</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pädagogische Hochschule.</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Universität, ETH (inklusive Lizentiat / Diplom Universität / ETH).</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Doktorat /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Cs/>
          <w:i/>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Wahlkreis oder Wahlregion.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8"/>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8"/>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8"/>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Cs/>
          <w:i/>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Abkürzung (kann mehrsprachig sein).</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Kurze Beschreibung der Gruppierung.</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mit weiteren Informationen.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Räumliche Referenz (BFS-Gemeindenummer, BFS-Kantonsnummer oder Land). Formate: Gemeinde: ld.admin.ch/municipality/1234, Kanton: ld.admin.ch/canton/23, Bund: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Kontaktinformationen (E-Mail, Website, Social Media). Richtlinie: E-Mail ist quasi-obligatorisch und sollte wenn vorhanden immer angegeben werden.</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Adressen mit Typ (privat, geschäftlich, lokal).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zu Parteistatuten (PDF oder Webseite; optional für Parteien).</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Parteifarbe als Hexadezimalwert (optional für Parteien, z.B.</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Cs/>
          <w:i/>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zum kontrollierten Vokabular für Gruppentypen.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Wahlliste (kann Teil einer Partei sein oder unabhängig).</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Ad-hoc-Arbeitsgruppe, typischerweise mit begrenzter Laufzeit.</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Parlament auf Bundes-, Kantons- oder Gemeindeebene (z.B. Bundesversammlung, Nationalrat, Ständerat, Grosser Rat, Kantonsrat, Gemeindeparlament).</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Parlamentsfraktion.</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Parlamentsbüro.</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Präsidium des Parlaments.</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Regierung / Exekutive als Gesamtorgan (z.B. Bundesrat, Regierungsrat, Stadtrat / Gemeinderat).</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Departement.</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Amt.</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Ausserparlamentarische Kommission mit Regierungsauftrag (z.B. Bankrat der Schweizerischen Nationalbank,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Interessengruppe aus der Zivilgesellschaft.</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Kontroll- oder Aufsichtsorgan (z.B. Eidgenössische Finanzkontrolle EFK, Aufsichtsbehörde AB-BA).</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Parlamentsdienste.</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Gericht / Judikative auf jeder Ebene (z.B. Bundesgericht, Kantonsgericht, Bezirksgericht).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Petitionsträger.</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Universität oder Bildungseinrichtung als ausgelagerter Träger öffentlicher Aufgaben.</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Anderer Gruppentyp, nicht durch Standardkategorien abgedeckt.</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9"/>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9"/>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9"/>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9"/>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Cs/>
          <w:i/>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Referenz auf eine Gruppe mit Snapshot-Daten zum Zeitpunkt der Verknüpfung.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Cs/>
          <w:i/>
        </w:rPr>
        <w:t xml:space="preserve">Rolle einer Person in einer Mitgliedschaft oder Funktion (z.B. Mitglied, Präsident/in, Stellvertreter/in). Wenn eine Rolle im vorgeschlagenen RoleEnum-Vokabular nicht enthalten ist, kann der Wert</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verwendet werden; in diesem Fall soll im Slot</w:t>
      </w:r>
      <w:r>
        <w:rPr>
          <w:iCs/>
          <w:i/>
        </w:rPr>
        <w:t xml:space="preserve"> </w:t>
      </w:r>
      <w:r>
        <w:rPr>
          <w:rStyle w:val="VerbatimChar"/>
          <w:iCs/>
          <w:i/>
        </w:rPr>
        <w:t xml:space="preserve">role_label</w:t>
      </w:r>
      <w:r>
        <w:rPr>
          <w:iCs/>
          <w:i/>
        </w:rPr>
        <w:t xml:space="preserve"> </w:t>
      </w:r>
      <w:r>
        <w:rPr>
          <w:iCs/>
          <w:i/>
        </w:rPr>
        <w:t xml:space="preserve">eine beschreibende Bezeichnung angegeben werden. Die Bezeichnung kann auch verwendet werden, wenn eine spezifische Rollenbezeichnung nötig ist, selbst wenn in</w:t>
      </w:r>
      <w:r>
        <w:rPr>
          <w:iCs/>
          <w:i/>
        </w:rPr>
        <w:t xml:space="preserve"> </w:t>
      </w:r>
      <w:r>
        <w:rPr>
          <w:rStyle w:val="VerbatimChar"/>
          <w:iCs/>
          <w:i/>
        </w:rPr>
        <w:t xml:space="preserve">role_type_enum</w:t>
      </w:r>
      <w:r>
        <w:rPr>
          <w:iCs/>
          <w:i/>
        </w:rPr>
        <w:t xml:space="preserve"> </w:t>
      </w:r>
      <w:r>
        <w:rPr>
          <w:iCs/>
          <w:i/>
        </w:rPr>
        <w:t xml:space="preserve">bereits ein passender semantischer Wert vorhanden ist; bei</w:t>
      </w:r>
      <w:r>
        <w:rPr>
          <w:iCs/>
          <w:i/>
        </w:rPr>
        <w:t xml:space="preserve"> </w:t>
      </w:r>
      <w:r>
        <w:rPr>
          <w:rStyle w:val="VerbatimChar"/>
          <w:iCs/>
          <w:i/>
        </w:rPr>
        <w:t xml:space="preserve">role_type_enum = other</w:t>
      </w:r>
      <w:r>
        <w:rPr>
          <w:iCs/>
          <w:i/>
        </w:rPr>
        <w:t xml:space="preserve"> </w:t>
      </w:r>
      <w:r>
        <w:rPr>
          <w:iCs/>
          <w:i/>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Rolle der Person in der Mitgliedschaft oder Funktion.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egeln"/>
    <w:p>
      <w:pPr>
        <w:pStyle w:val="berschrift5"/>
      </w:pPr>
      <w:r>
        <w:t xml:space="preserve">Regeln</w:t>
      </w:r>
    </w:p>
    <w:p>
      <w:pPr>
        <w:numPr>
          <w:ilvl w:val="0"/>
          <w:numId w:val="1011"/>
        </w:numPr>
        <w:pStyle w:val="Compact"/>
      </w:pPr>
      <w:r>
        <w:t xml:space="preserve">Wenn der Rollentyp</w:t>
      </w:r>
      <w:r>
        <w:t xml:space="preserve"> </w:t>
      </w:r>
      <w:r>
        <w:t xml:space="preserve">‘</w:t>
      </w:r>
      <w:r>
        <w:t xml:space="preserve">other</w:t>
      </w:r>
      <w:r>
        <w:t xml:space="preserve">’</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Cs/>
          <w:i/>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Gewöhnliches Mitglied (Standard).</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Stellvertreter / Vize.</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numPr>
          <w:ilvl w:val="0"/>
          <w:numId w:val="1012"/>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12"/>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12"/>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12"/>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Cs/>
          <w:i/>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Referenz auf eine Person mit Snapshot-Daten zum Zeitpunkt der Verknüpfung.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Art der Interessenbindung (Berufliche Tätigkeit, Politische Ämter, Verein).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der Organisation oder des Unternehmens.</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der Organisation (Format eCH-0097: CHE-XXX.XXX.XXX) aus dem eidgenössischen UID-Register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Rechtsform der Organisation. Siehe kontrolliertes Vokabular: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Position bezahlt ist.</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Gremium innerhalb der Organisation (z.B.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Funktion oder Rolle in der Organisation (z.B.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Einzelunternehmen.</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Kollektivgesellschaft (KlG).</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Kommanditgesellschaft (KmG).</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Kommanditaktiengesellschaft (KmAG).</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Aktiengesellschaft (AG).</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Gesellschaft mit beschränkter Haftung (GmbH).</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Genossenschaft.</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Verein.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Stiftung.</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Zweigniederlassung eines ausländischen Unternehmens.</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Besondere Rechtsform.</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Kommanditgesellschaft für kollektive Kapitalanlagen (KmGK).</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Investmentgesellschaft mit variablem Kapital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Investmentgesellschaft mit festem Kapital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des öffentlichen Rechts.</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Nichtkaufmännische Prokura.</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Haupt von Gemeinderschaft.</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Zweigniederlassung.</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Verwaltungseinheit des Bundes.</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Verwaltungseinheit des Kantons.</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Verwaltungseinheit des Bezirks.</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Verwaltungseinheit der Gemeinde.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Andere öffentlich-rechtliche Verwaltungseinheit.</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Einrichtung des öffentlichen Rechts des Bundes.</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Einrichtung des öffentlichen Rechts des Kantons.</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Einrichtung des öffentlichen Rechts des Bezirks.</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Einrichtung des öffentlichen Rechts der Gemeinde.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Andere Einrichtung des öffentlichen Rechts.</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Einfache Gesellschaft.</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Betriebsstätte oder Schweizer Vertretung eines ausländischen Unternehmens.</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Ausländisches öffentliches Unternehmen.</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Ausländische öffentliche Verwaltung.</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Internationale Organisation.</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Übrige Genossenschaft.</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Ausländisches Unternehmen.</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Rechtsform unbestimmt oder unbekannt.</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4"/>
        </w:numPr>
        <w:pStyle w:val="Compact"/>
      </w:pPr>
      <w:r>
        <w:rPr>
          <w:bCs/>
          <w:b/>
        </w:rPr>
        <w:t xml:space="preserve">Nützliche lokale Daten</w:t>
      </w:r>
      <w:r>
        <w:t xml:space="preserve"> </w:t>
      </w:r>
      <w:r>
        <w:t xml:space="preserve">ohne aufwändige Abfragen der vollständigen Entität</w:t>
      </w:r>
    </w:p>
    <w:p>
      <w:pPr>
        <w:numPr>
          <w:ilvl w:val="0"/>
          <w:numId w:val="1014"/>
        </w:numPr>
        <w:pStyle w:val="Compact"/>
      </w:pPr>
      <w:r>
        <w:rPr>
          <w:bCs/>
          <w:b/>
        </w:rPr>
        <w:t xml:space="preserve">Keine Redundanz</w:t>
      </w:r>
      <w:r>
        <w:t xml:space="preserve">, da nicht alle Informationen bei jeder Erwähnung wiederholt werden müssen</w:t>
      </w:r>
    </w:p>
    <w:p>
      <w:pPr>
        <w:numPr>
          <w:ilvl w:val="0"/>
          <w:numId w:val="1014"/>
        </w:numPr>
        <w:pStyle w:val="Compact"/>
      </w:pPr>
      <w:r>
        <w:rPr>
          <w:bCs/>
          <w:b/>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Cs/>
          <w:i/>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Obligatorischer Kurzname zur Identifikation der Person innerhalb der Organisation (z.B. mit Geburtsjahr zur Unterscheidung von Personen mit gleichem Namen).</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Optionaler langer Anzeigename mit akademischen Titeln und vollständigem amtlichem Namen (z.B.</w:t>
            </w:r>
            <w:r>
              <w:t xml:space="preserve">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des Gremiums zum Zeitpunkt der Verknüpfung.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Cs/>
          <w:i/>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Möglichkeit bei einer strukturierten Information, ein Label zu vergeben (bspw. Anzeigename, Anstellung,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Abkürzung (kann mehrsprachig sein).</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Cs/>
          <w:i/>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 der 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Strassenadresse.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Postleitzahl.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Wert</w:t>
            </w:r>
          </w:p>
        </w:tc>
        <w:tc>
          <w:tcPr/>
          <w:p>
            <w:pPr>
              <w:pStyle w:val="Compact"/>
              <w:jc w:val="left"/>
            </w:pPr>
            <w:r>
              <w:t xml:space="preserve">Beschreibung</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Privatadresse.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Geschäftsadresse.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Cs/>
          <w:i/>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Kardinalität und Wertebereich</w:t>
            </w:r>
          </w:p>
        </w:tc>
        <w:tc>
          <w:tcPr/>
          <w:p>
            <w:pPr>
              <w:pStyle w:val="Compact"/>
              <w:jc w:val="left"/>
            </w:pPr>
            <w:r>
              <w:t xml:space="preserve">Beschreibung</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 der Kontaktinformation.</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2026-07-17T15:05:43Z</dcterms:created>
  <dcterms:modified xsi:type="dcterms:W3CDTF">2026-07-17T15:05:43Z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