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shd w:val="clear" w:color="auto" w:fill="F2F2F2"/>
          </w:tcPr>
          <w:p>
            <w:pPr>
              <w:pStyle w:val="Compact"/>
              <w:jc w:val="left"/>
            </w:pPr>
            <w:r>
              <w:rPr>
                <w:bCs/>
                <w:b/>
              </w:rPr>
              <w:t xml:space="preserve">eCH number</w:t>
            </w:r>
          </w:p>
        </w:tc>
        <w:tc>
          <w:tcPr>
            <w:shd w:val="clear" w:color="auto" w:fill="F2F2F2"/>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shd w:val="clear" w:color="auto" w:fill="F2F2F2"/>
          </w:tcPr>
          <w:p>
            <w:pPr>
              <w:pStyle w:val="Compact"/>
              <w:jc w:val="left"/>
            </w:pPr>
            <w:r>
              <w:rPr>
                <w:bCs/>
                <w:b/>
              </w:rPr>
              <w:t xml:space="preserve">Maturity level</w:t>
            </w:r>
          </w:p>
        </w:tc>
        <w:tc>
          <w:tcPr>
            <w:shd w:val="clear" w:color="auto" w:fill="F2F2F2"/>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Adopted on</w:t>
            </w:r>
          </w:p>
        </w:tc>
        <w:tc>
          <w:tcPr/>
          <w:p>
            <w:pPr>
              <w:pStyle w:val="Compact"/>
            </w:pPr>
          </w:p>
        </w:tc>
      </w:tr>
      <w:tr>
        <w:tc>
          <w:tcPr>
            <w:shd w:val="clear" w:color="auto" w:fill="F2F2F2"/>
          </w:tcPr>
          <w:p>
            <w:pPr>
              <w:pStyle w:val="Compact"/>
              <w:jc w:val="left"/>
            </w:pPr>
            <w:r>
              <w:rPr>
                <w:bCs/>
                <w:b/>
              </w:rPr>
              <w:t xml:space="preserve">Issue date</w:t>
            </w:r>
          </w:p>
        </w:tc>
        <w:tc>
          <w:tcPr>
            <w:shd w:val="clear" w:color="auto" w:fill="F2F2F2"/>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shd w:val="clear" w:color="auto" w:fill="F2F2F2"/>
          </w:tcPr>
          <w:p>
            <w:pPr>
              <w:pStyle w:val="Compact"/>
              <w:jc w:val="left"/>
            </w:pPr>
            <w:r>
              <w:rPr>
                <w:bCs/>
                <w:b/>
              </w:rPr>
              <w:t xml:space="preserve">Prerequisites</w:t>
            </w:r>
          </w:p>
        </w:tc>
        <w:tc>
          <w:tcPr>
            <w:shd w:val="clear" w:color="auto" w:fill="F2F2F2"/>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Languages</w:t>
            </w:r>
          </w:p>
        </w:tc>
        <w:tc>
          <w:tcPr>
            <w:shd w:val="clear" w:color="auto" w:fill="F2F2F2"/>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Publisher / Distribution</w:t>
            </w:r>
          </w:p>
        </w:tc>
        <w:tc>
          <w:tcPr>
            <w:shd w:val="clear" w:color="auto" w:fill="F2F2F2"/>
          </w:tcPr>
          <w:p>
            <w:pPr>
              <w:pStyle w:val="Compact"/>
              <w:jc w:val="lef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Male.</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Female.</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Maximum compulsory school.</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No education.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Compulsory school attended but not completed.</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Compulsory school.</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 year of education / transitional education.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Upper secondary level.</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Upper secondary level - Vocational education and training (VET).</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Apprenticeship in a company 2 years (EBA) / basic vocational training.</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Vocational school / trade school 2 years.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Apprenticeship 3-4 years (EFZ) / vocational school / trade school.</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Apprenticeship in a company 3-4 years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Vocational school / trade school 3-4 years.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Upper secondary level - general education.</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Upper secondary specialised schools / diploma middle school.</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Upper secondary specialised schools / diploma middle school 2 years.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Upper secondary specialised schools / diploma middle school 3 years.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Baccalaureate / teaching diploma.</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Baccalaureate.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Teaching diploma.</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Vocational / specialised baccalaureate.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Vocational baccalaureate.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Specialised baccalaureate.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Tertiary level.</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Professional education.</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Professional examination with federal diploma of higher education.</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College of Higher Education.</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College of Higher Education 2 years full time or 3 years part-time.</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College of Higher Education 3 years full time or 4 years part-time.</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Higher education institutions.</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universities of applied sciences (including UAS diploma).</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universities, institutes of technology (UIT).</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universities of applied sciences.</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universities of teacher education.</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Doctorate or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8"/>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8"/>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8"/>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Electoral list (can be part of a party or independent).</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 working group, typically with a limited duration.</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Parliamentary faction.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Parliamentary bureau.</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Presidency of parliament.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Government department.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Government office.</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Interest group from civil society.</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Parliamentary services.</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 carrier.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group type not covered by standard categories.</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9"/>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9"/>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9"/>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9"/>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ules"/>
    <w:p>
      <w:pPr>
        <w:pStyle w:val="berschrift5"/>
      </w:pPr>
      <w:r>
        <w:t xml:space="preserve">Rules</w:t>
      </w:r>
    </w:p>
    <w:p>
      <w:pPr>
        <w:numPr>
          <w:ilvl w:val="0"/>
          <w:numId w:val="1011"/>
        </w:numPr>
        <w:pStyle w:val="Compact"/>
      </w:pPr>
      <w:r>
        <w:t xml:space="preserve">If the role type is</w:t>
      </w:r>
      <w:r>
        <w:t xml:space="preserve"> </w:t>
      </w:r>
      <w:r>
        <w:t xml:space="preserve">‘</w:t>
      </w:r>
      <w:r>
        <w:t xml:space="preserve">other</w:t>
      </w:r>
      <w:r>
        <w:t xml:space="preserve">’</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Regular member (default).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President or chair of the group.</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Deputy/vice role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numPr>
          <w:ilvl w:val="0"/>
          <w:numId w:val="1012"/>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12"/>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12"/>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12"/>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Sole proprietorship.</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General partnership (GP).</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Limited partnership (LP).</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Corporation with unlimited partners (CUP).</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Corporation (Ltd).</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Limited liability company (LLC).</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Cooperative.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Foundation.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Branch of a foreign company.</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Special legal 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Limited Partnership for collective investment schemes (LPCI).</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Public-law institution.</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Non-commercial power of attorney.</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Representative of the community of property.</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Branch.</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Administrative unit of the Confederation.</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Administrative unit of the canton.</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Administrative unit of the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Administrative unit of the commune.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Other public-law administrative unit.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Public-law institution of the Confederation.</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Public-law institution of the canton.</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Public-law institution of the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Public-law institution of the commune.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Other public-law institution.</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Simple partnership.</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Foreign public company.</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Foreign public administration.</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Other cooperative.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Fund.</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Foreign company.</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Legal form undefined or unknown.</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14"/>
        </w:numPr>
        <w:pStyle w:val="Compact"/>
      </w:pPr>
      <w:r>
        <w:rPr>
          <w:bCs/>
          <w:b/>
        </w:rPr>
        <w:t xml:space="preserve">Useful local data</w:t>
      </w:r>
      <w:r>
        <w:t xml:space="preserve"> </w:t>
      </w:r>
      <w:r>
        <w:t xml:space="preserve">without costly queries of the complete entity</w:t>
      </w:r>
    </w:p>
    <w:p>
      <w:pPr>
        <w:numPr>
          <w:ilvl w:val="0"/>
          <w:numId w:val="1014"/>
        </w:numPr>
        <w:pStyle w:val="Compact"/>
      </w:pPr>
      <w:r>
        <w:rPr>
          <w:bCs/>
          <w:b/>
        </w:rPr>
        <w:t xml:space="preserve">No redundancy</w:t>
      </w:r>
      <w:r>
        <w:t xml:space="preserve">, since not all information has to be repeated at every mention</w:t>
      </w:r>
    </w:p>
    <w:p>
      <w:pPr>
        <w:numPr>
          <w:ilvl w:val="0"/>
          <w:numId w:val="1014"/>
        </w:numPr>
        <w:pStyle w:val="Compact"/>
      </w:pPr>
      <w:r>
        <w:rPr>
          <w:bCs/>
          <w:b/>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Private address.</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Business address.</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2026-07-17T15:05:44Z</dcterms:created>
  <dcterms:modified xsi:type="dcterms:W3CDTF">2026-07-17T15:05:44Z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