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shd w:val="clear" w:color="auto" w:fill="F2F2F2"/>
          </w:tcPr>
          <w:p>
            <w:pPr>
              <w:pStyle w:val="Compact"/>
              <w:jc w:val="left"/>
            </w:pPr>
            <w:r>
              <w:rPr>
                <w:bCs/>
                <w:b/>
              </w:rPr>
              <w:t xml:space="preserve">Numéro eCH</w:t>
            </w:r>
          </w:p>
        </w:tc>
        <w:tc>
          <w:tcPr>
            <w:shd w:val="clear" w:color="auto" w:fill="F2F2F2"/>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shd w:val="clear" w:color="auto" w:fill="F2F2F2"/>
          </w:tcPr>
          <w:p>
            <w:pPr>
              <w:pStyle w:val="Compact"/>
              <w:jc w:val="left"/>
            </w:pPr>
            <w:r>
              <w:rPr>
                <w:bCs/>
                <w:b/>
              </w:rPr>
              <w:t xml:space="preserve">Degré de maturité</w:t>
            </w:r>
          </w:p>
        </w:tc>
        <w:tc>
          <w:tcPr>
            <w:shd w:val="clear" w:color="auto" w:fill="F2F2F2"/>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Statut</w:t>
            </w:r>
          </w:p>
        </w:tc>
        <w:tc>
          <w:tcPr>
            <w:shd w:val="clear" w:color="auto" w:fill="F2F2F2"/>
          </w:tcPr>
          <w:p>
            <w:pPr>
              <w:pStyle w:val="Compact"/>
            </w:pPr>
          </w:p>
        </w:tc>
      </w:tr>
      <w:tr>
        <w:tc>
          <w:tcPr/>
          <w:p>
            <w:pPr>
              <w:pStyle w:val="Compact"/>
              <w:jc w:val="left"/>
            </w:pPr>
            <w:r>
              <w:rPr>
                <w:bCs/>
                <w:b/>
              </w:rPr>
              <w:t xml:space="preserve">Décidé le</w:t>
            </w:r>
          </w:p>
        </w:tc>
        <w:tc>
          <w:tcPr/>
          <w:p>
            <w:pPr>
              <w:pStyle w:val="Compact"/>
            </w:pPr>
          </w:p>
        </w:tc>
      </w:tr>
      <w:tr>
        <w:tc>
          <w:tcPr>
            <w:shd w:val="clear" w:color="auto" w:fill="F2F2F2"/>
          </w:tcPr>
          <w:p>
            <w:pPr>
              <w:pStyle w:val="Compact"/>
              <w:jc w:val="left"/>
            </w:pPr>
            <w:r>
              <w:rPr>
                <w:bCs/>
                <w:b/>
              </w:rPr>
              <w:t xml:space="preserve">Date de publication</w:t>
            </w:r>
          </w:p>
        </w:tc>
        <w:tc>
          <w:tcPr>
            <w:shd w:val="clear" w:color="auto" w:fill="F2F2F2"/>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shd w:val="clear" w:color="auto" w:fill="F2F2F2"/>
          </w:tcPr>
          <w:p>
            <w:pPr>
              <w:pStyle w:val="Compact"/>
              <w:jc w:val="left"/>
            </w:pPr>
            <w:r>
              <w:rPr>
                <w:bCs/>
                <w:b/>
              </w:rPr>
              <w:t xml:space="preserve">Conditions préalables</w:t>
            </w:r>
          </w:p>
        </w:tc>
        <w:tc>
          <w:tcPr>
            <w:shd w:val="clear" w:color="auto" w:fill="F2F2F2"/>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Langues</w:t>
            </w:r>
          </w:p>
        </w:tc>
        <w:tc>
          <w:tcPr>
            <w:shd w:val="clear" w:color="auto" w:fill="F2F2F2"/>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Éditeur / Distribution</w:t>
            </w:r>
          </w:p>
        </w:tc>
        <w:tc>
          <w:tcPr>
            <w:shd w:val="clear" w:color="auto" w:fill="F2F2F2"/>
          </w:tcPr>
          <w:p>
            <w:pPr>
              <w:pStyle w:val="Compact"/>
              <w:jc w:val="lef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Masculin.</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Féminin.</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École obligatoire au maximum.</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Aucune formation.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École obligatoire inachevée.</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École obligatoire.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Formation d’un an / offre de transition.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Degré secondaire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Degré secondaire II - formation professionnelle.</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École professionnelle / école de commerce d’une durée de 2 ans.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Apprentissage en entreprise d’une durée de 3 à 4 ans (CFC).</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Degré secondaire II - formation générale.</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École de culture générale / école de degré diplôme.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Maturité ou école normale.</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Maturité gymnasiale.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Brevet d’enseignement.</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Maturité professionnelle / spécialisée.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Maturité professionnelle.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Maturité spécialisée.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Degré tertiaire.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Formation professionnelle supérieure.</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Examen professionnel avec brevet fédéral.</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Examen professionnel supérieur avec diplôme fédéral/maîtrise.</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École supérieure (ES).</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École supérieure (ES) 2 ans plein temps ou 3 ans temps partiel.</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École supérieure (ES) 3 ans plein temps ou 4 ans temps partiel.</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Haute école.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haute école spécialisée (y compris diplôme HES).</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haute école pédagogique (y compris diplôme HEP).</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université, EPF.</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haute école spécialisée.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haute école pédagogique.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université, EPF (y compris licence/diplôme université/EPF).</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8"/>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8"/>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8"/>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Groupe de travail ad hoc, généralement d’une durée limitée.</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Délégation.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Groupe parlementaire.</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Bureau du parlement.</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Présidence du parlement.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Département gouvernemental.</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Office gouvernemental.</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Groupe d’intérêts issu de la société civile.</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Services du parlement.</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Porteur de pétition.</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type de groupe non couvert par les catégories standard.</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9"/>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9"/>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9"/>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9"/>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ègles"/>
    <w:p>
      <w:pPr>
        <w:pStyle w:val="berschrift5"/>
      </w:pPr>
      <w:r>
        <w:t xml:space="preserve">Règles</w:t>
      </w:r>
    </w:p>
    <w:p>
      <w:pPr>
        <w:numPr>
          <w:ilvl w:val="0"/>
          <w:numId w:val="1011"/>
        </w:numPr>
        <w:pStyle w:val="Compact"/>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Membre ordinaire (par défaut).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Président ou président du groupe.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Rôle de suppléant/vice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numPr>
          <w:ilvl w:val="0"/>
          <w:numId w:val="1012"/>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12"/>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12"/>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12"/>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Entreprise individuelle.</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Société en nom collectif (SNC).</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Société en commandite (SCm).</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Société en commandite par actions (SCmA).</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Société anonyme (SA).</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Société à responsabilité limitée (Sàrl).</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Société coopérative.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Succursale d’une entreprise étrangère.</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Forme juridique particulière.</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Société en commandite de placements collectifs (SCmPC).</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Société d’investissement à capital variable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Société d’investissement à capital fixe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 droit public.</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Procuration non-commerciale.</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Représentant d’indivision.</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Succursale.</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Unité de l’administration fédérale.</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Unité de l’administration cantonale.</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Unité de l’administration du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Unité de l’administration communale.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Autre unité de l’administration de droit public.</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Institution de droit public fédérale.</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Institution de droit public cantonale.</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Institution de droit public du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Institution de droit public communale.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Autre institution de droit public.</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Société simple.</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Entreprise publique étrangère.</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Administration publique étrangère.</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Organisation internationale.</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Autre société coopérative.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Entreprise étrangère.</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Forme juridique non déterminée ou inconnue.</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14"/>
        </w:numPr>
        <w:pStyle w:val="Compact"/>
      </w:pPr>
      <w:r>
        <w:rPr>
          <w:bCs/>
          <w:b/>
        </w:rPr>
        <w:t xml:space="preserve">Des données locales utiles</w:t>
      </w:r>
      <w:r>
        <w:t xml:space="preserve"> </w:t>
      </w:r>
      <w:r>
        <w:t xml:space="preserve">sans requêtes coûteuses sur l’entité complète</w:t>
      </w:r>
    </w:p>
    <w:p>
      <w:pPr>
        <w:numPr>
          <w:ilvl w:val="0"/>
          <w:numId w:val="1014"/>
        </w:numPr>
        <w:pStyle w:val="Compact"/>
      </w:pPr>
      <w:r>
        <w:rPr>
          <w:bCs/>
          <w:b/>
        </w:rPr>
        <w:t xml:space="preserve">Aucune redondance</w:t>
      </w:r>
      <w:r>
        <w:t xml:space="preserve">, car il n’est pas nécessaire de répéter toutes les informations à chaque mention</w:t>
      </w:r>
    </w:p>
    <w:p>
      <w:pPr>
        <w:numPr>
          <w:ilvl w:val="0"/>
          <w:numId w:val="1014"/>
        </w:numPr>
        <w:pStyle w:val="Compact"/>
      </w:pPr>
      <w:r>
        <w:rPr>
          <w:bCs/>
          <w:b/>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Adresse privée.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Adresse professionnelle.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2026-07-17T15:05:44Z</dcterms:created>
  <dcterms:modified xsi:type="dcterms:W3CDTF">2026-07-17T15:05:44Z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