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2026-08-10</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Fachgruppe</w:t>
            </w:r>
          </w:p>
        </w:tc>
        <w:tc>
          <w:tcPr/>
          <w:p>
            <w:pPr>
              <w:pStyle w:val="Compact"/>
            </w:pPr>
            <w:r>
              <w:t xml:space="preserve">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r>
              <w:br/>
            </w:r>
            <w:r>
              <w:t xml:space="preserve">T 044 388 74 64 / info@ech.ch / www.ech.ch</w:t>
            </w:r>
          </w:p>
        </w:tc>
      </w:tr>
    </w:tbl>
    <w:p>
      <w:r>
        <w:br w:type="page"/>
      </w:r>
    </w:p>
    <w:bookmarkStart w:id="21" w:name="zusammenfassung"/>
    <w:p>
      <w:pPr>
        <w:pStyle w:val="Nebentitel"/>
      </w:pPr>
      <w:r>
        <w:t xml:space="preserve">Zusammenfassung</w:t>
      </w:r>
    </w:p>
    <w:bookmarkEnd w:id="21"/>
    <w:p>
      <w:pPr>
        <w:pStyle w:val="Textkrper"/>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Start w:id="22" w:name="inhaltsverzeichnis"/>
    <w:p>
      <w:pPr>
        <w:pStyle w:val="Nebentitel"/>
      </w:pPr>
      <w:r>
        <w:t xml:space="preserve">Inhaltsverzeichnis</w:t>
      </w:r>
    </w:p>
    <w:bookmarkEnd w:id="22"/>
    <w:p>
      <w:r>
        <w:fldChar w:fldCharType="begin" w:dirty="true"/>
      </w:r>
      <w:r>
        <w:instrText xml:space="preserve"> TOC \o "1-2" \h \z \u </w:instrText>
      </w:r>
      <w:r>
        <w:fldChar w:fldCharType="separate"/>
      </w:r>
      <w:r>
        <w:t>Rechtsklick &gt; „Felder aktualisieren“, um das Inhaltsverzeichnis zu erzeugen.</w:t>
      </w:r>
      <w:r>
        <w:fldChar w:fldCharType="end"/>
      </w:r>
    </w:p>
    <w:bookmarkStart w:id="23" w:name="hinweis"/>
    <w:p>
      <w:pPr>
        <w:pStyle w:val="Nebentitel"/>
      </w:pPr>
      <w:r>
        <w:t xml:space="preserve">Hinweis</w:t>
      </w:r>
    </w:p>
    <w:bookmarkEnd w:id="23"/>
    <w:p>
      <w:pPr>
        <w:pStyle w:val="Textkrper"/>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p>
      <w:r>
        <w:br w:type="page"/>
      </w:r>
    </w:p>
    <w:bookmarkStart w:id="29" w:name="einleitung"/>
    <w:p>
      <w:pPr>
        <w:pStyle w:val="berschrift1"/>
      </w:pPr>
      <w:r>
        <w:t xml:space="preserve">Einleitung</w:t>
      </w:r>
    </w:p>
    <w:bookmarkStart w:id="24" w:name="status"/>
    <w:p>
      <w:pPr>
        <w:pStyle w:val="berschrift2"/>
      </w:pPr>
      <w:r>
        <w:t xml:space="preserve">Status</w:t>
      </w:r>
    </w:p>
    <w:p>
      <w:pPr>
        <w:pStyle w:val="FirstParagraph"/>
      </w:pPr>
      <w:r>
        <w:t xml:space="preserve">Vorschlag</w:t>
      </w:r>
    </w:p>
    <w:bookmarkEnd w:id="24"/>
    <w:bookmarkStart w:id="25" w:name="anwendungsgebiet"/>
    <w:p>
      <w:pPr>
        <w:pStyle w:val="berschrift2"/>
      </w:pPr>
      <w:r>
        <w:t xml:space="preserve">Anwendungsgebiet</w:t>
      </w:r>
    </w:p>
    <w:p>
      <w:pPr>
        <w:pStyle w:val="FirstParagraph"/>
      </w:pPr>
      <w:r>
        <w:t xml:space="preserve">Der Standard regelt die Publikation von Daten über politische Akteurinnen und Akteure durch die Stellen, die sie heute schon führen: Parlamentsdienste, Staatskanzleien und Gemeindeverwaltungen aller Staatsebenen. Er deckt insbesondere folgende Anwendungsfälle ab:</w:t>
      </w:r>
    </w:p>
    <w:p>
      <w:pPr>
        <w:pStyle w:val="Compact"/>
        <w:numPr>
          <w:ilvl w:val="0"/>
          <w:numId w:val="1001"/>
        </w:numPr>
      </w:pPr>
      <w:r>
        <w:t xml:space="preserve">Publikation der Mitglieder von Parlamenten, Regierungen und Kommissionen mit ihren Mitgliedschaften, Funktionen und Amtsdauern</w:t>
      </w:r>
    </w:p>
    <w:p>
      <w:pPr>
        <w:pStyle w:val="Compact"/>
        <w:numPr>
          <w:ilvl w:val="0"/>
          <w:numId w:val="1001"/>
        </w:numPr>
      </w:pPr>
      <w:r>
        <w:t xml:space="preserve">Publikation der Register der Interessenbindungen von Parlamentsmitgliedern</w:t>
      </w:r>
    </w:p>
    <w:p>
      <w:pPr>
        <w:pStyle w:val="Compact"/>
        <w:numPr>
          <w:ilvl w:val="0"/>
          <w:numId w:val="1001"/>
        </w:numPr>
      </w:pPr>
      <w:r>
        <w:t xml:space="preserve">Referenzierung von Personen, Gruppen und Organen aus den übrigen Standards der Familie „Politische Geschäfte”, etwa für Wortmeldungen und Abstimmungen im Ratsbetrieb (eCH-0293) oder für die Urheberschaft parlamentarischer Geschäfte (eCH-0295)</w:t>
      </w:r>
    </w:p>
    <w:p>
      <w:pPr>
        <w:pStyle w:val="Compact"/>
        <w:numPr>
          <w:ilvl w:val="0"/>
          <w:numId w:val="1001"/>
        </w:numPr>
      </w:pPr>
      <w:r>
        <w:t xml:space="preserve">Nachnutzung dieser Daten durch Medien, Forschung und Öffentlichkeit, über Staatsebenen hinweg vergleichbar</w:t>
      </w:r>
    </w:p>
    <w:bookmarkEnd w:id="25"/>
    <w:bookmarkStart w:id="26"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2"/>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2"/>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2"/>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2"/>
        </w:numPr>
      </w:pPr>
      <w:r>
        <w:rPr>
          <w:b/>
          <w:bCs/>
        </w:rPr>
        <w:t xml:space="preserve">eCH-0295 – Parlamentarische Geschäfte (Affairs):</w:t>
      </w:r>
      <w:r>
        <w:t xml:space="preserve"> </w:t>
      </w:r>
      <w:r>
        <w:t xml:space="preserve">Beschreibt den Lebenszyklus politischer Geschäfte.</w:t>
      </w:r>
    </w:p>
    <w:p>
      <w:pPr>
        <w:pStyle w:val="Compact"/>
        <w:numPr>
          <w:ilvl w:val="0"/>
          <w:numId w:val="1002"/>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2"/>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6"/>
    <w:bookmarkStart w:id="27"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3"/>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3"/>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4"/>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4"/>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7"/>
    <w:bookmarkStart w:id="28"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5"/>
        </w:numPr>
      </w:pPr>
      <w:r>
        <w:rPr>
          <w:b/>
          <w:bCs/>
        </w:rPr>
        <w:t xml:space="preserve">Person</w:t>
      </w:r>
      <w:r>
        <w:t xml:space="preserve"> </w:t>
      </w:r>
      <w:r>
        <w:t xml:space="preserve">– Natürliche Personen im politischen Kontext</w:t>
      </w:r>
    </w:p>
    <w:p>
      <w:pPr>
        <w:pStyle w:val="Compact"/>
        <w:numPr>
          <w:ilvl w:val="0"/>
          <w:numId w:val="1005"/>
        </w:numPr>
      </w:pPr>
      <w:r>
        <w:rPr>
          <w:b/>
          <w:bCs/>
        </w:rPr>
        <w:t xml:space="preserve">Group</w:t>
      </w:r>
      <w:r>
        <w:t xml:space="preserve"> </w:t>
      </w:r>
      <w:r>
        <w:t xml:space="preserve">– Gremien, Parteien, Fraktionen, Räte, Kommissionen, Organisationen etc.</w:t>
      </w:r>
    </w:p>
    <w:p>
      <w:pPr>
        <w:pStyle w:val="Compact"/>
        <w:numPr>
          <w:ilvl w:val="0"/>
          <w:numId w:val="1005"/>
        </w:numPr>
      </w:pPr>
      <w:r>
        <w:rPr>
          <w:b/>
          <w:bCs/>
        </w:rPr>
        <w:t xml:space="preserve">Membership</w:t>
      </w:r>
      <w:r>
        <w:t xml:space="preserve"> </w:t>
      </w:r>
      <w:r>
        <w:t xml:space="preserve">– Verbindung zwischen Personen und Gruppen</w:t>
      </w:r>
    </w:p>
    <w:p>
      <w:pPr>
        <w:pStyle w:val="Compact"/>
        <w:numPr>
          <w:ilvl w:val="0"/>
          <w:numId w:val="1005"/>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8"/>
    <w:bookmarkEnd w:id="29"/>
    <w:bookmarkStart w:id="139"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6"/>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6"/>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6"/>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30">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31">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6"/>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6"/>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6"/>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6"/>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42" w:name="klasse-person"/>
    <w:p>
      <w:pPr>
        <w:pStyle w:val="berschrift2"/>
      </w:pPr>
      <w:r>
        <w:t xml:space="preserve">Klasse: Person</w:t>
      </w:r>
      <w:r>
        <w:t xml:space="preserve"> </w:t>
      </w:r>
      <w:bookmarkStart w:id="32" w:name="Person"/>
      <w:bookmarkEnd w:id="32"/>
    </w:p>
    <w:p>
      <w:pPr>
        <w:pStyle w:val="FirstParagraph"/>
      </w:pPr>
      <w:r>
        <w:rPr>
          <w:i/>
          <w:iCs/>
        </w:rPr>
        <w:t xml:space="preserve">Eine Person mit Identifikatoren, Namen, Adressen, Staatsbürgerschaften und Berufen.</w:t>
      </w:r>
    </w:p>
    <w:bookmarkStart w:id="33"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p>
      <w:pPr>
        <w:pStyle w:val="Beschriftung"/>
      </w:pPr>
      <w:r>
        <w:t xml:space="preserve">Tabelle</w:t>
      </w:r>
      <w:r>
        <w:t xml:space="preserve"> </w:t>
      </w:r>
      <w:fldSimple w:instr=" SEQ Tabelle \* ARABIC ">
        <w:r>
          <w:t>1</w:t>
        </w:r>
      </w:fldSimple>
      <w:r>
        <w:t xml:space="preserve">: Person – Attribute</w:t>
      </w:r>
    </w:p>
    <w:bookmarkEnd w:id="33"/>
    <w:bookmarkStart w:id="34" w:name="verwendungen"/>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p>
      <w:pPr>
        <w:pStyle w:val="Beschriftung"/>
      </w:pPr>
      <w:r>
        <w:t xml:space="preserve">Tabelle</w:t>
      </w:r>
      <w:r>
        <w:t xml:space="preserve"> </w:t>
      </w:r>
      <w:fldSimple w:instr=" SEQ Tabelle \* ARABIC ">
        <w:r>
          <w:t>1</w:t>
        </w:r>
      </w:fldSimple>
      <w:r>
        <w:t xml:space="preserve">: Person – Verwendungen</w:t>
      </w:r>
    </w:p>
    <w:bookmarkEnd w:id="34"/>
    <w:bookmarkStart w:id="41" w:name="beispiele"/>
    <w:p>
      <w:pPr>
        <w:pStyle w:val="berschrift3"/>
      </w:pPr>
      <w:r>
        <w:t xml:space="preserve">Beispiele</w:t>
      </w:r>
    </w:p>
    <w:bookmarkStart w:id="35"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5"/>
    <w:bookmarkStart w:id="36"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Start w:id="37"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7"/>
    <w:bookmarkStart w:id="38"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8"/>
    <w:bookmarkStart w:id="39"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9"/>
    <w:bookmarkStart w:id="40"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40"/>
    <w:bookmarkEnd w:id="41"/>
    <w:bookmarkEnd w:id="42"/>
    <w:bookmarkStart w:id="46" w:name="klasse-name"/>
    <w:p>
      <w:pPr>
        <w:pStyle w:val="berschrift2"/>
      </w:pPr>
      <w:r>
        <w:t xml:space="preserve">Klasse: Name</w:t>
      </w:r>
      <w:r>
        <w:t xml:space="preserve"> </w:t>
      </w:r>
      <w:bookmarkStart w:id="43" w:name="Name"/>
      <w:bookmarkEnd w:id="43"/>
    </w:p>
    <w:p>
      <w:pPr>
        <w:pStyle w:val="FirstParagraph"/>
      </w:pPr>
      <w:r>
        <w:rPr>
          <w:i/>
          <w:iCs/>
        </w:rPr>
        <w:t xml:space="preserve">Ein Name mit einem Typ (z.B. Rufname, amtlicher Name) und einem Wert und einer zeitlichen Gültigkeit.</w:t>
      </w:r>
    </w:p>
    <w:bookmarkStart w:id="44"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Name – Attribute</w:t>
      </w:r>
    </w:p>
    <w:bookmarkEnd w:id="44"/>
    <w:bookmarkStart w:id="45"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p>
      <w:pPr>
        <w:pStyle w:val="Beschriftung"/>
      </w:pPr>
      <w:r>
        <w:t xml:space="preserve">Tabelle</w:t>
      </w:r>
      <w:r>
        <w:t xml:space="preserve"> </w:t>
      </w:r>
      <w:fldSimple w:instr=" SEQ Tabelle \* ARABIC ">
        <w:r>
          <w:t>1</w:t>
        </w:r>
      </w:fldSimple>
      <w:r>
        <w:t xml:space="preserve">: Name – Verwendungen</w:t>
      </w:r>
    </w:p>
    <w:bookmarkEnd w:id="45"/>
    <w:bookmarkEnd w:id="46"/>
    <w:bookmarkStart w:id="61" w:name="enum-nametypeenum"/>
    <w:p>
      <w:pPr>
        <w:pStyle w:val="berschrift2"/>
      </w:pPr>
      <w:r>
        <w:t xml:space="preserve">Enum: NameTypeEnum</w:t>
      </w:r>
      <w:r>
        <w:t xml:space="preserve"> </w:t>
      </w:r>
      <w:bookmarkStart w:id="47" w:name="NameTypeEnum"/>
      <w:bookmarkEnd w:id="47"/>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8">
        <w:r>
          <w:rPr>
            <w:rStyle w:val="Hyperlink"/>
          </w:rPr>
          <w:t xml:space="preserve">act:NameTypeEnum</w:t>
        </w:r>
      </w:hyperlink>
    </w:p>
    <w:bookmarkStart w:id="60"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9">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50">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51">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52">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53">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54">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55">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6">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7">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8">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9">
              <w:r>
                <w:rPr>
                  <w:rStyle w:val="Hyperlink"/>
                </w:rPr>
                <w:t xml:space="preserve">https://register.ld.admin.ch/i14y/concept/personDeclaredForeignerFirstName</w:t>
              </w:r>
            </w:hyperlink>
          </w:p>
        </w:tc>
      </w:tr>
    </w:tbl>
    <w:p>
      <w:pPr>
        <w:pStyle w:val="Beschriftung"/>
      </w:pPr>
      <w:r>
        <w:t xml:space="preserve">Tabelle</w:t>
      </w:r>
      <w:r>
        <w:t xml:space="preserve"> </w:t>
      </w:r>
      <w:fldSimple w:instr=" SEQ Tabelle \* ARABIC ">
        <w:r>
          <w:t>1</w:t>
        </w:r>
      </w:fldSimple>
      <w:r>
        <w:t xml:space="preserve">: NameTypeEnum – Zulässige Werte</w:t>
      </w:r>
    </w:p>
    <w:bookmarkEnd w:id="60"/>
    <w:bookmarkEnd w:id="61"/>
    <w:bookmarkStart w:id="65" w:name="klasse-languageproficiency"/>
    <w:p>
      <w:pPr>
        <w:pStyle w:val="berschrift2"/>
      </w:pPr>
      <w:r>
        <w:t xml:space="preserve">Klasse: LanguageProficiency</w:t>
      </w:r>
      <w:r>
        <w:t xml:space="preserve"> </w:t>
      </w:r>
      <w:bookmarkStart w:id="62" w:name="LanguageProficiency"/>
      <w:bookmarkEnd w:id="62"/>
    </w:p>
    <w:p>
      <w:pPr>
        <w:pStyle w:val="FirstParagraph"/>
      </w:pPr>
      <w:r>
        <w:rPr>
          <w:i/>
          <w:iCs/>
        </w:rPr>
        <w:t xml:space="preserve">Sprachkenntnisse einer Person mit Angabe der Sprache und ob es sich um die bevorzugte Sprache oder die Muttersprache handelt.</w:t>
      </w:r>
    </w:p>
    <w:bookmarkStart w:id="6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es sich um die Muttersprache handelt.</w:t>
            </w:r>
          </w:p>
        </w:tc>
      </w:tr>
    </w:tbl>
    <w:p>
      <w:pPr>
        <w:pStyle w:val="Beschriftung"/>
      </w:pPr>
      <w:r>
        <w:t xml:space="preserve">Tabelle</w:t>
      </w:r>
      <w:r>
        <w:t xml:space="preserve"> </w:t>
      </w:r>
      <w:fldSimple w:instr=" SEQ Tabelle \* ARABIC ">
        <w:r>
          <w:t>1</w:t>
        </w:r>
      </w:fldSimple>
      <w:r>
        <w:t xml:space="preserve">: LanguageProficiency – Attribute</w:t>
      </w:r>
    </w:p>
    <w:bookmarkEnd w:id="63"/>
    <w:bookmarkStart w:id="64"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p>
      <w:pPr>
        <w:pStyle w:val="Beschriftung"/>
      </w:pPr>
      <w:r>
        <w:t xml:space="preserve">Tabelle</w:t>
      </w:r>
      <w:r>
        <w:t xml:space="preserve"> </w:t>
      </w:r>
      <w:fldSimple w:instr=" SEQ Tabelle \* ARABIC ">
        <w:r>
          <w:t>1</w:t>
        </w:r>
      </w:fldSimple>
      <w:r>
        <w:t xml:space="preserve">: LanguageProficiency – Verwendungen</w:t>
      </w:r>
    </w:p>
    <w:bookmarkEnd w:id="64"/>
    <w:bookmarkEnd w:id="65"/>
    <w:bookmarkStart w:id="69" w:name="klasse-citizenship"/>
    <w:p>
      <w:pPr>
        <w:pStyle w:val="berschrift2"/>
      </w:pPr>
      <w:r>
        <w:t xml:space="preserve">Klasse: Citizenship</w:t>
      </w:r>
      <w:r>
        <w:t xml:space="preserve"> </w:t>
      </w:r>
      <w:bookmarkStart w:id="66" w:name="Citizenship"/>
      <w:bookmarkEnd w:id="66"/>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67"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Citizenship – Attribute</w:t>
      </w:r>
    </w:p>
    <w:bookmarkEnd w:id="67"/>
    <w:bookmarkStart w:id="68"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p>
      <w:pPr>
        <w:pStyle w:val="Beschriftung"/>
      </w:pPr>
      <w:r>
        <w:t xml:space="preserve">Tabelle</w:t>
      </w:r>
      <w:r>
        <w:t xml:space="preserve"> </w:t>
      </w:r>
      <w:fldSimple w:instr=" SEQ Tabelle \* ARABIC ">
        <w:r>
          <w:t>1</w:t>
        </w:r>
      </w:fldSimple>
      <w:r>
        <w:t xml:space="preserve">: Citizenship – Verwendungen</w:t>
      </w:r>
    </w:p>
    <w:bookmarkEnd w:id="68"/>
    <w:bookmarkEnd w:id="69"/>
    <w:bookmarkStart w:id="73" w:name="klasse-gender"/>
    <w:p>
      <w:pPr>
        <w:pStyle w:val="berschrift2"/>
      </w:pPr>
      <w:r>
        <w:t xml:space="preserve">Klasse: Gender</w:t>
      </w:r>
      <w:r>
        <w:t xml:space="preserve"> </w:t>
      </w:r>
      <w:bookmarkStart w:id="70" w:name="Gender"/>
      <w:bookmarkEnd w:id="70"/>
    </w:p>
    <w:p>
      <w:pPr>
        <w:pStyle w:val="FirstParagraph"/>
      </w:pPr>
      <w:r>
        <w:rPr>
          <w:i/>
          <w:iCs/>
        </w:rPr>
        <w:t xml:space="preserve">Geschlecht einer Person mit Angabe eines Geschlechtscodes und der zeitlichen Gültigkeit.</w:t>
      </w:r>
    </w:p>
    <w:bookmarkStart w:id="71"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Gender – Attribute</w:t>
      </w:r>
    </w:p>
    <w:bookmarkEnd w:id="71"/>
    <w:bookmarkStart w:id="72"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p>
      <w:pPr>
        <w:pStyle w:val="Beschriftung"/>
      </w:pPr>
      <w:r>
        <w:t xml:space="preserve">Tabelle</w:t>
      </w:r>
      <w:r>
        <w:t xml:space="preserve"> </w:t>
      </w:r>
      <w:fldSimple w:instr=" SEQ Tabelle \* ARABIC ">
        <w:r>
          <w:t>1</w:t>
        </w:r>
      </w:fldSimple>
      <w:r>
        <w:t xml:space="preserve">: Gender – Verwendungen</w:t>
      </w:r>
    </w:p>
    <w:bookmarkEnd w:id="72"/>
    <w:bookmarkEnd w:id="73"/>
    <w:bookmarkStart w:id="79" w:name="enum-gendercodeenum"/>
    <w:p>
      <w:pPr>
        <w:pStyle w:val="berschrift2"/>
      </w:pPr>
      <w:r>
        <w:t xml:space="preserve">Enum: GenderCodeEnum</w:t>
      </w:r>
      <w:r>
        <w:t xml:space="preserve"> </w:t>
      </w:r>
      <w:bookmarkStart w:id="74" w:name="GenderCodeEnum"/>
      <w:bookmarkEnd w:id="74"/>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75">
        <w:r>
          <w:rPr>
            <w:rStyle w:val="Hyperlink"/>
          </w:rPr>
          <w:t xml:space="preserve">act:GenderCodeEnum</w:t>
        </w:r>
      </w:hyperlink>
    </w:p>
    <w:bookmarkStart w:id="7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7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7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p>
      <w:pPr>
        <w:pStyle w:val="Beschriftung"/>
      </w:pPr>
      <w:r>
        <w:t xml:space="preserve">Tabelle</w:t>
      </w:r>
      <w:r>
        <w:t xml:space="preserve"> </w:t>
      </w:r>
      <w:fldSimple w:instr=" SEQ Tabelle \* ARABIC ">
        <w:r>
          <w:t>1</w:t>
        </w:r>
      </w:fldSimple>
      <w:r>
        <w:t xml:space="preserve">: GenderCodeEnum – Zulässige Werte</w:t>
      </w:r>
    </w:p>
    <w:bookmarkEnd w:id="78"/>
    <w:bookmarkEnd w:id="79"/>
    <w:bookmarkStart w:id="87" w:name="klasse-occupation"/>
    <w:p>
      <w:pPr>
        <w:pStyle w:val="berschrift2"/>
      </w:pPr>
      <w:r>
        <w:t xml:space="preserve">Klasse: Occupation</w:t>
      </w:r>
      <w:r>
        <w:t xml:space="preserve"> </w:t>
      </w:r>
      <w:bookmarkStart w:id="80" w:name="Occupation"/>
      <w:bookmarkEnd w:id="80"/>
    </w:p>
    <w:p>
      <w:pPr>
        <w:pStyle w:val="FirstParagraph"/>
      </w:pPr>
      <w:r>
        <w:rPr>
          <w:i/>
          <w:iCs/>
        </w:rPr>
        <w:t xml:space="preserve">Beruf oder Tätigkeit einer Person mit Angabe eines Labels, eines ISCO-19 Codes, ob die Tätigkeit bezahlt ist, und der zeitlichen Gültigkeit.</w:t>
      </w:r>
    </w:p>
    <w:bookmarkStart w:id="8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Name der Organisation oder des Unternehmens mit der Sprache, in der er publiziert wird. Zweisprachige Register führen den Namen in beiden Sprachen; erfasst wird pro Sprache ein Eintrag.</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Occupation – Attribute</w:t>
      </w:r>
    </w:p>
    <w:bookmarkStart w:id="81"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r>
        <w:t xml:space="preserve">occupation_code</w:t>
      </w:r>
    </w:p>
    <w:p>
      <w:pPr>
        <w:pStyle w:val="Compact"/>
        <w:numPr>
          <w:ilvl w:val="0"/>
          <w:numId w:val="1007"/>
        </w:numPr>
      </w:pPr>
      <w:r>
        <w:t xml:space="preserve">label</w:t>
      </w:r>
    </w:p>
    <w:bookmarkEnd w:id="81"/>
    <w:bookmarkEnd w:id="82"/>
    <w:bookmarkStart w:id="83" w:name="verwendungen-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p>
      <w:pPr>
        <w:pStyle w:val="Beschriftung"/>
      </w:pPr>
      <w:r>
        <w:t xml:space="preserve">Tabelle</w:t>
      </w:r>
      <w:r>
        <w:t xml:space="preserve"> </w:t>
      </w:r>
      <w:fldSimple w:instr=" SEQ Tabelle \* ARABIC ">
        <w:r>
          <w:t>1</w:t>
        </w:r>
      </w:fldSimple>
      <w:r>
        <w:t xml:space="preserve">: Occupation – Verwendungen</w:t>
      </w:r>
    </w:p>
    <w:bookmarkEnd w:id="83"/>
    <w:bookmarkStart w:id="86" w:name="beispiele-1"/>
    <w:p>
      <w:pPr>
        <w:pStyle w:val="berschrift3"/>
      </w:pPr>
      <w:r>
        <w:t xml:space="preserve">Beispiele</w:t>
      </w:r>
    </w:p>
    <w:bookmarkStart w:id="84"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4"/>
    <w:bookmarkStart w:id="85"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5"/>
    <w:bookmarkEnd w:id="86"/>
    <w:bookmarkEnd w:id="87"/>
    <w:bookmarkStart w:id="92" w:name="klasse-training"/>
    <w:p>
      <w:pPr>
        <w:pStyle w:val="berschrift2"/>
      </w:pPr>
      <w:r>
        <w:t xml:space="preserve">Klasse: Training</w:t>
      </w:r>
      <w:r>
        <w:t xml:space="preserve"> </w:t>
      </w:r>
      <w:bookmarkStart w:id="88" w:name="Training"/>
      <w:bookmarkEnd w:id="88"/>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90"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Training – Attribute</w:t>
      </w:r>
    </w:p>
    <w:bookmarkStart w:id="89"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8"/>
        </w:numPr>
      </w:pPr>
      <w:r>
        <w:t xml:space="preserve">training_type</w:t>
      </w:r>
    </w:p>
    <w:p>
      <w:pPr>
        <w:pStyle w:val="Compact"/>
        <w:numPr>
          <w:ilvl w:val="0"/>
          <w:numId w:val="1008"/>
        </w:numPr>
      </w:pPr>
      <w:r>
        <w:t xml:space="preserve">training_code</w:t>
      </w:r>
    </w:p>
    <w:p>
      <w:pPr>
        <w:pStyle w:val="Compact"/>
        <w:numPr>
          <w:ilvl w:val="0"/>
          <w:numId w:val="1008"/>
        </w:numPr>
      </w:pPr>
      <w:r>
        <w:t xml:space="preserve">value</w:t>
      </w:r>
    </w:p>
    <w:bookmarkEnd w:id="89"/>
    <w:bookmarkEnd w:id="90"/>
    <w:bookmarkStart w:id="91" w:name="verwendungen-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p>
      <w:pPr>
        <w:pStyle w:val="Beschriftung"/>
      </w:pPr>
      <w:r>
        <w:t xml:space="preserve">Tabelle</w:t>
      </w:r>
      <w:r>
        <w:t xml:space="preserve"> </w:t>
      </w:r>
      <w:fldSimple w:instr=" SEQ Tabelle \* ARABIC ">
        <w:r>
          <w:t>1</w:t>
        </w:r>
      </w:fldSimple>
      <w:r>
        <w:t xml:space="preserve">: Training – Verwendungen</w:t>
      </w:r>
    </w:p>
    <w:bookmarkEnd w:id="91"/>
    <w:bookmarkEnd w:id="92"/>
    <w:bookmarkStart w:id="138" w:name="enum-trainingtypeenum"/>
    <w:p>
      <w:pPr>
        <w:pStyle w:val="berschrift2"/>
      </w:pPr>
      <w:r>
        <w:t xml:space="preserve">Enum: TrainingTypeEnum</w:t>
      </w:r>
      <w:r>
        <w:t xml:space="preserve"> </w:t>
      </w:r>
      <w:bookmarkStart w:id="93" w:name="TrainingTypeEnum"/>
      <w:bookmarkEnd w:id="93"/>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94">
        <w:r>
          <w:rPr>
            <w:rStyle w:val="Hyperlink"/>
          </w:rPr>
          <w:t xml:space="preserve">act:TrainingTypeEnum</w:t>
        </w:r>
      </w:hyperlink>
    </w:p>
    <w:bookmarkStart w:id="137"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95">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96">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97">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98">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99">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100">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101">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102">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103">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104">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105">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106">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107">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108">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109">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110">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111">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112">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13">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14">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15">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16">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17">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18">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19">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20">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21">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22">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23">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24">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25">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26">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27">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28">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29">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30">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31">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32">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33">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34">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35">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36">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p>
      <w:pPr>
        <w:pStyle w:val="Beschriftung"/>
      </w:pPr>
      <w:r>
        <w:t xml:space="preserve">Tabelle</w:t>
      </w:r>
      <w:r>
        <w:t xml:space="preserve"> </w:t>
      </w:r>
      <w:fldSimple w:instr=" SEQ Tabelle \* ARABIC ">
        <w:r>
          <w:t>1</w:t>
        </w:r>
      </w:fldSimple>
      <w:r>
        <w:t xml:space="preserve">: TrainingTypeEnum – Zulässige Werte</w:t>
      </w:r>
    </w:p>
    <w:bookmarkEnd w:id="137"/>
    <w:p>
      <w:r>
        <w:br w:type="page"/>
      </w:r>
    </w:p>
    <w:bookmarkEnd w:id="138"/>
    <w:bookmarkEnd w:id="139"/>
    <w:bookmarkStart w:id="186"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9"/>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9"/>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9"/>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54" w:name="klasse-group"/>
    <w:p>
      <w:pPr>
        <w:pStyle w:val="berschrift2"/>
      </w:pPr>
      <w:r>
        <w:t xml:space="preserve">Klasse: Group</w:t>
      </w:r>
      <w:r>
        <w:t xml:space="preserve"> </w:t>
      </w:r>
      <w:bookmarkStart w:id="140" w:name="Group"/>
      <w:bookmarkEnd w:id="140"/>
    </w:p>
    <w:p>
      <w:pPr>
        <w:pStyle w:val="FirstParagraph"/>
      </w:pPr>
      <w:r>
        <w:rPr>
          <w:i/>
          <w:iCs/>
        </w:rPr>
        <w:t xml:space="preserve">Eine politische Gruppe, Organisation oder Körperschaft (z.B. Partei, Kommission, Parlament, Departement).</w:t>
      </w:r>
    </w:p>
    <w:bookmarkStart w:id="141"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Group – Attribute</w:t>
      </w:r>
    </w:p>
    <w:bookmarkEnd w:id="141"/>
    <w:bookmarkStart w:id="142" w:name="verwendungen-7"/>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p>
      <w:pPr>
        <w:pStyle w:val="Beschriftung"/>
      </w:pPr>
      <w:r>
        <w:t xml:space="preserve">Tabelle</w:t>
      </w:r>
      <w:r>
        <w:t xml:space="preserve"> </w:t>
      </w:r>
      <w:fldSimple w:instr=" SEQ Tabelle \* ARABIC ">
        <w:r>
          <w:t>1</w:t>
        </w:r>
      </w:fldSimple>
      <w:r>
        <w:t xml:space="preserve">: Group – Verwendungen</w:t>
      </w:r>
    </w:p>
    <w:bookmarkEnd w:id="142"/>
    <w:bookmarkStart w:id="153" w:name="beispiele-2"/>
    <w:p>
      <w:pPr>
        <w:pStyle w:val="berschrift3"/>
      </w:pPr>
      <w:r>
        <w:t xml:space="preserve">Beispiele</w:t>
      </w:r>
    </w:p>
    <w:bookmarkStart w:id="143"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3"/>
    <w:bookmarkStart w:id="144"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4"/>
    <w:bookmarkStart w:id="145"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5"/>
    <w:bookmarkStart w:id="146"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6"/>
    <w:bookmarkStart w:id="147"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7"/>
    <w:bookmarkStart w:id="148"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8"/>
    <w:bookmarkStart w:id="149"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Start w:id="150"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50"/>
    <w:bookmarkStart w:id="151"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51"/>
    <w:bookmarkStart w:id="152"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52"/>
    <w:bookmarkEnd w:id="153"/>
    <w:bookmarkEnd w:id="154"/>
    <w:bookmarkStart w:id="158" w:name="klasse-grouptype"/>
    <w:p>
      <w:pPr>
        <w:pStyle w:val="berschrift2"/>
      </w:pPr>
      <w:r>
        <w:t xml:space="preserve">Klasse: GroupType</w:t>
      </w:r>
      <w:r>
        <w:t xml:space="preserve"> </w:t>
      </w:r>
      <w:bookmarkStart w:id="155" w:name="GroupType"/>
      <w:bookmarkEnd w:id="155"/>
    </w:p>
    <w:p>
      <w:pPr>
        <w:pStyle w:val="FirstParagraph"/>
      </w:pPr>
      <w:r>
        <w:rPr>
          <w:i/>
          <w:iCs/>
        </w:rPr>
        <w:t xml:space="preserve">Art der Gruppe (z.B. Partei, Kommission, Parlament, Departement).</w:t>
      </w:r>
    </w:p>
    <w:bookmarkStart w:id="156"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p>
      <w:pPr>
        <w:pStyle w:val="Beschriftung"/>
      </w:pPr>
      <w:r>
        <w:t xml:space="preserve">Tabelle</w:t>
      </w:r>
      <w:r>
        <w:t xml:space="preserve"> </w:t>
      </w:r>
      <w:fldSimple w:instr=" SEQ Tabelle \* ARABIC ">
        <w:r>
          <w:t>1</w:t>
        </w:r>
      </w:fldSimple>
      <w:r>
        <w:t xml:space="preserve">: GroupType – Attribute</w:t>
      </w:r>
    </w:p>
    <w:bookmarkEnd w:id="156"/>
    <w:bookmarkStart w:id="157" w:name="verwendungen-8"/>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p>
      <w:pPr>
        <w:pStyle w:val="Beschriftung"/>
      </w:pPr>
      <w:r>
        <w:t xml:space="preserve">Tabelle</w:t>
      </w:r>
      <w:r>
        <w:t xml:space="preserve"> </w:t>
      </w:r>
      <w:fldSimple w:instr=" SEQ Tabelle \* ARABIC ">
        <w:r>
          <w:t>1</w:t>
        </w:r>
      </w:fldSimple>
      <w:r>
        <w:t xml:space="preserve">: GroupType – Verwendungen</w:t>
      </w:r>
    </w:p>
    <w:bookmarkEnd w:id="157"/>
    <w:bookmarkEnd w:id="158"/>
    <w:bookmarkStart w:id="185" w:name="enum-grouptypeenum"/>
    <w:p>
      <w:pPr>
        <w:pStyle w:val="berschrift2"/>
      </w:pPr>
      <w:r>
        <w:t xml:space="preserve">Enum: GroupTypeEnum</w:t>
      </w:r>
      <w:r>
        <w:t xml:space="preserve"> </w:t>
      </w:r>
      <w:bookmarkStart w:id="159" w:name="GroupTypeEnum"/>
      <w:bookmarkEnd w:id="159"/>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60">
        <w:r>
          <w:rPr>
            <w:rStyle w:val="Hyperlink"/>
          </w:rPr>
          <w:t xml:space="preserve">act:GroupTypeEnum</w:t>
        </w:r>
      </w:hyperlink>
    </w:p>
    <w:bookmarkStart w:id="184"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6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6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6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6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6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67">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68">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69">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70">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71">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7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7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74">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75">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76">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77">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78">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7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8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8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8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83">
              <w:r>
                <w:rPr>
                  <w:rStyle w:val="Hyperlink"/>
                </w:rPr>
                <w:t xml:space="preserve">act:enum/group_type/other</w:t>
              </w:r>
            </w:hyperlink>
          </w:p>
        </w:tc>
      </w:tr>
    </w:tbl>
    <w:p>
      <w:pPr>
        <w:pStyle w:val="Beschriftung"/>
      </w:pPr>
      <w:r>
        <w:t xml:space="preserve">Tabelle</w:t>
      </w:r>
      <w:r>
        <w:t xml:space="preserve"> </w:t>
      </w:r>
      <w:fldSimple w:instr=" SEQ Tabelle \* ARABIC ">
        <w:r>
          <w:t>1</w:t>
        </w:r>
      </w:fldSimple>
      <w:r>
        <w:t xml:space="preserve">: GroupTypeEnum – Zulässige Werte</w:t>
      </w:r>
    </w:p>
    <w:bookmarkEnd w:id="184"/>
    <w:p>
      <w:r>
        <w:br w:type="page"/>
      </w:r>
    </w:p>
    <w:bookmarkEnd w:id="185"/>
    <w:bookmarkEnd w:id="186"/>
    <w:bookmarkStart w:id="21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10"/>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10"/>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10"/>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10"/>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10"/>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10"/>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99" w:name="klasse-membership"/>
    <w:p>
      <w:pPr>
        <w:pStyle w:val="berschrift2"/>
      </w:pPr>
      <w:r>
        <w:t xml:space="preserve">Klasse: Membership</w:t>
      </w:r>
      <w:r>
        <w:t xml:space="preserve"> </w:t>
      </w:r>
      <w:bookmarkStart w:id="187" w:name="Membership"/>
      <w:bookmarkEnd w:id="187"/>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88"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Membership – Attribute</w:t>
      </w:r>
    </w:p>
    <w:bookmarkEnd w:id="188"/>
    <w:bookmarkStart w:id="189" w:name="verwendungen-9"/>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p>
      <w:pPr>
        <w:pStyle w:val="Beschriftung"/>
      </w:pPr>
      <w:r>
        <w:t xml:space="preserve">Tabelle</w:t>
      </w:r>
      <w:r>
        <w:t xml:space="preserve"> </w:t>
      </w:r>
      <w:fldSimple w:instr=" SEQ Tabelle \* ARABIC ">
        <w:r>
          <w:t>1</w:t>
        </w:r>
      </w:fldSimple>
      <w:r>
        <w:t xml:space="preserve">: Membership – Verwendungen</w:t>
      </w:r>
    </w:p>
    <w:bookmarkEnd w:id="189"/>
    <w:bookmarkStart w:id="198" w:name="beispiele-3"/>
    <w:p>
      <w:pPr>
        <w:pStyle w:val="berschrift3"/>
      </w:pPr>
      <w:r>
        <w:t xml:space="preserve">Beispiele</w:t>
      </w:r>
    </w:p>
    <w:bookmarkStart w:id="190"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0"/>
    <w:bookmarkStart w:id="191"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1"/>
    <w:bookmarkStart w:id="192"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4"/>
    <w:bookmarkStart w:id="195"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5"/>
    <w:bookmarkStart w:id="196"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6"/>
    <w:bookmarkStart w:id="197"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7"/>
    <w:bookmarkEnd w:id="198"/>
    <w:bookmarkEnd w:id="199"/>
    <w:bookmarkStart w:id="205" w:name="klasse-roletype"/>
    <w:p>
      <w:pPr>
        <w:pStyle w:val="berschrift2"/>
      </w:pPr>
      <w:r>
        <w:t xml:space="preserve">Klasse: RoleType</w:t>
      </w:r>
      <w:r>
        <w:t xml:space="preserve"> </w:t>
      </w:r>
      <w:bookmarkStart w:id="200" w:name="RoleType"/>
      <w:bookmarkEnd w:id="200"/>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202"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p>
      <w:pPr>
        <w:pStyle w:val="Beschriftung"/>
      </w:pPr>
      <w:r>
        <w:t xml:space="preserve">Tabelle</w:t>
      </w:r>
      <w:r>
        <w:t xml:space="preserve"> </w:t>
      </w:r>
      <w:fldSimple w:instr=" SEQ Tabelle \* ARABIC ">
        <w:r>
          <w:t>1</w:t>
        </w:r>
      </w:fldSimple>
      <w:r>
        <w:t xml:space="preserve">: RoleType – Attribute</w:t>
      </w:r>
    </w:p>
    <w:bookmarkStart w:id="201"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1"/>
        </w:numPr>
      </w:pPr>
      <w:r>
        <w:t xml:space="preserve">role_type_enum</w:t>
      </w:r>
    </w:p>
    <w:p>
      <w:pPr>
        <w:pStyle w:val="Compact"/>
        <w:numPr>
          <w:ilvl w:val="0"/>
          <w:numId w:val="1011"/>
        </w:numPr>
      </w:pPr>
      <w:r>
        <w:t xml:space="preserve">role_label</w:t>
      </w:r>
    </w:p>
    <w:bookmarkEnd w:id="201"/>
    <w:bookmarkEnd w:id="202"/>
    <w:bookmarkStart w:id="204"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p>
      <w:pPr>
        <w:pStyle w:val="Beschriftung"/>
      </w:pPr>
      <w:r>
        <w:t xml:space="preserve">Tabelle</w:t>
      </w:r>
      <w:r>
        <w:t xml:space="preserve"> </w:t>
      </w:r>
      <w:fldSimple w:instr=" SEQ Tabelle \* ARABIC ">
        <w:r>
          <w:t>1</w:t>
        </w:r>
      </w:fldSimple>
      <w:r>
        <w:t xml:space="preserve">: RoleType – Verwendungen</w:t>
      </w:r>
    </w:p>
    <w:bookmarkStart w:id="203" w:name="regeln"/>
    <w:p>
      <w:pPr>
        <w:pStyle w:val="berschrift5"/>
      </w:pPr>
      <w:r>
        <w:t xml:space="preserve">Regeln</w:t>
      </w:r>
    </w:p>
    <w:p>
      <w:pPr>
        <w:pStyle w:val="Compact"/>
        <w:numPr>
          <w:ilvl w:val="0"/>
          <w:numId w:val="1012"/>
        </w:numPr>
      </w:pPr>
      <w:r>
        <w:t xml:space="preserve">Wenn der Rollentyp</w:t>
      </w:r>
      <w:r>
        <w:t xml:space="preserve"> </w:t>
      </w:r>
      <w:r>
        <w:t xml:space="preserve">‘other’</w:t>
      </w:r>
      <w:r>
        <w:t xml:space="preserve"> </w:t>
      </w:r>
      <w:r>
        <w:t xml:space="preserve">ist, muss eine beschreibende Bezeichnung angegeben werden.</w:t>
      </w:r>
    </w:p>
    <w:bookmarkEnd w:id="203"/>
    <w:bookmarkEnd w:id="204"/>
    <w:bookmarkEnd w:id="205"/>
    <w:bookmarkStart w:id="209" w:name="enum-roleenum"/>
    <w:p>
      <w:pPr>
        <w:pStyle w:val="berschrift2"/>
      </w:pPr>
      <w:r>
        <w:t xml:space="preserve">Enum: RoleEnum</w:t>
      </w:r>
      <w:r>
        <w:t xml:space="preserve"> </w:t>
      </w:r>
      <w:bookmarkStart w:id="206" w:name="RoleEnum"/>
      <w:bookmarkEnd w:id="206"/>
    </w:p>
    <w:p>
      <w:pPr>
        <w:pStyle w:val="FirstParagraph"/>
      </w:pPr>
      <w:r>
        <w:rPr>
          <w:i/>
          <w:iCs/>
        </w:rPr>
        <w:t xml:space="preserve">Rollen, die eine Person im Rahmen einer Mitgliedschaft haben kann.</w:t>
      </w:r>
    </w:p>
    <w:p>
      <w:pPr>
        <w:pStyle w:val="Textkrper"/>
      </w:pPr>
      <w:r>
        <w:t xml:space="preserve">URI:</w:t>
      </w:r>
      <w:r>
        <w:t xml:space="preserve"> </w:t>
      </w:r>
      <w:hyperlink ns1:id="rId207">
        <w:r>
          <w:rPr>
            <w:rStyle w:val="Hyperlink"/>
          </w:rPr>
          <w:t xml:space="preserve">act:RoleEnum</w:t>
        </w:r>
      </w:hyperlink>
    </w:p>
    <w:bookmarkStart w:id="208"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p>
      <w:pPr>
        <w:pStyle w:val="Beschriftung"/>
      </w:pPr>
      <w:r>
        <w:t xml:space="preserve">Tabelle</w:t>
      </w:r>
      <w:r>
        <w:t xml:space="preserve"> </w:t>
      </w:r>
      <w:fldSimple w:instr=" SEQ Tabelle \* ARABIC ">
        <w:r>
          <w:t>1</w:t>
        </w:r>
      </w:fldSimple>
      <w:r>
        <w:t xml:space="preserve">: RoleEnum – Zulässige Werte</w:t>
      </w:r>
    </w:p>
    <w:bookmarkEnd w:id="208"/>
    <w:bookmarkEnd w:id="209"/>
    <w:bookmarkStart w:id="216" w:name="klasse-electoraldistrict"/>
    <w:p>
      <w:pPr>
        <w:pStyle w:val="berschrift2"/>
      </w:pPr>
      <w:r>
        <w:t xml:space="preserve">Klasse: ElectoralDistrict</w:t>
      </w:r>
      <w:r>
        <w:t xml:space="preserve"> </w:t>
      </w:r>
      <w:bookmarkStart w:id="210" w:name="ElectoralDistrict"/>
      <w:bookmarkEnd w:id="210"/>
    </w:p>
    <w:p>
      <w:pPr>
        <w:pStyle w:val="FirstParagraph"/>
      </w:pPr>
      <w:r>
        <w:rPr>
          <w:i/>
          <w:iCs/>
        </w:rPr>
        <w:t xml:space="preserve">Wahlkreis oder Wahlregion, die einer Mitgliedschaft zugeordnet ist. Die zeitliche Gültigkeit wird von der umschliessenden Mitgliedschaft übernommen.</w:t>
      </w:r>
    </w:p>
    <w:bookmarkStart w:id="21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p>
      <w:pPr>
        <w:pStyle w:val="Beschriftung"/>
      </w:pPr>
      <w:r>
        <w:t xml:space="preserve">Tabelle</w:t>
      </w:r>
      <w:r>
        <w:t xml:space="preserve"> </w:t>
      </w:r>
      <w:fldSimple w:instr=" SEQ Tabelle \* ARABIC ">
        <w:r>
          <w:t>1</w:t>
        </w:r>
      </w:fldSimple>
      <w:r>
        <w:t xml:space="preserve">: ElectoralDistrict – Attribute</w:t>
      </w:r>
    </w:p>
    <w:bookmarkEnd w:id="211"/>
    <w:bookmarkStart w:id="212"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p>
      <w:pPr>
        <w:pStyle w:val="Beschriftung"/>
      </w:pPr>
      <w:r>
        <w:t xml:space="preserve">Tabelle</w:t>
      </w:r>
      <w:r>
        <w:t xml:space="preserve"> </w:t>
      </w:r>
      <w:fldSimple w:instr=" SEQ Tabelle \* ARABIC ">
        <w:r>
          <w:t>1</w:t>
        </w:r>
      </w:fldSimple>
      <w:r>
        <w:t xml:space="preserve">: ElectoralDistrict – Verwendungen</w:t>
      </w:r>
    </w:p>
    <w:bookmarkEnd w:id="212"/>
    <w:bookmarkStart w:id="215" w:name="beispiele-4"/>
    <w:p>
      <w:pPr>
        <w:pStyle w:val="berschrift3"/>
      </w:pPr>
      <w:r>
        <w:t xml:space="preserve">Beispiele</w:t>
      </w:r>
    </w:p>
    <w:bookmarkStart w:id="213"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3"/>
    <w:bookmarkStart w:id="214"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4"/>
    <w:bookmarkEnd w:id="215"/>
    <w:p>
      <w:r>
        <w:br w:type="page"/>
      </w:r>
    </w:p>
    <w:bookmarkEnd w:id="216"/>
    <w:bookmarkEnd w:id="217"/>
    <w:bookmarkStart w:id="286"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218">
        <w:r>
          <w:rPr>
            <w:rStyle w:val="Hyperlink"/>
          </w:rPr>
          <w:t xml:space="preserve">Bundesversammlung – Interessenbindungen</w:t>
        </w:r>
      </w:hyperlink>
      <w:r>
        <w:t xml:space="preserve">.</w:t>
      </w:r>
    </w:p>
    <w:p>
      <w:pPr>
        <w:pStyle w:val="Compact"/>
        <w:numPr>
          <w:ilvl w:val="0"/>
          <w:numId w:val="1013"/>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3"/>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Das Vokabular folgt den Kategorien, welche die Register heute schon führen: „Tätigkeiten in Führungs- und Aufsichtsorganen sowie Beiräten und ähnlichen Gremien” (Luzern) wird zu</w:t>
      </w:r>
      <w:r>
        <w:t xml:space="preserve"> </w:t>
      </w:r>
      <w:r>
        <w:rPr>
          <w:rStyle w:val="VerbatimChar"/>
        </w:rPr>
        <w:t xml:space="preserve">governing_body</w:t>
      </w:r>
      <w:r>
        <w:t xml:space="preserve">, „Leitungsfunktionen und dauernde Beratungs- oder Expertentätigkeiten für Interessengruppen und Verbände” (Luzern) zu</w:t>
      </w:r>
      <w:r>
        <w:t xml:space="preserve"> </w:t>
      </w:r>
      <w:r>
        <w:rPr>
          <w:rStyle w:val="VerbatimChar"/>
        </w:rPr>
        <w:t xml:space="preserve">interest_group_mandate</w:t>
      </w:r>
      <w:r>
        <w:t xml:space="preserve">, „Mitwirkung in Kommissionen und anderen Organen des Bundes, eines Kantons, einer Gemeinde oder einer interkantonalen Zusammenarbeit” (Freiburg) und „Ausübung politischer Ämter in Bund, Kanton und Gemeinden (ausgenommen Landratsmandat)” (Basel-Landschaft) beide zu</w:t>
      </w:r>
      <w:r>
        <w:t xml:space="preserve"> </w:t>
      </w:r>
      <w:r>
        <w:rPr>
          <w:rStyle w:val="VerbatimChar"/>
        </w:rPr>
        <w:t xml:space="preserve">public_mandate</w:t>
      </w:r>
      <w:r>
        <w:t xml:space="preserve">, „berufliche Tätigkeiten und allfällige Arbeitgeber” (Schwyz) zu</w:t>
      </w:r>
      <w:r>
        <w:t xml:space="preserve"> </w:t>
      </w:r>
      <w:r>
        <w:rPr>
          <w:rStyle w:val="VerbatimChar"/>
        </w:rPr>
        <w:t xml:space="preserve">professional_activity</w:t>
      </w:r>
      <w:r>
        <w:t xml:space="preserve">. Basel-Stadt kommt mit zwei Kategorien aus („Führung und Aufsicht”, „staatliche Kommission”), die Stadt Zug nennt sechs — dasselbe Raster, verschieden fein geschnitten.</w:t>
      </w:r>
    </w:p>
    <w:p>
      <w:pPr>
        <w:pStyle w:val="Compact"/>
        <w:numPr>
          <w:ilvl w:val="0"/>
          <w:numId w:val="1013"/>
        </w:numPr>
      </w:pPr>
      <w:r>
        <w:rPr>
          <w:b/>
          <w:bCs/>
        </w:rPr>
        <w:t xml:space="preserve">Ein Wert für die öffentliche Hand (</w:t>
      </w:r>
      <w:r>
        <w:rPr>
          <w:rStyle w:val="VerbatimChar"/>
          <w:b/>
          <w:bCs/>
        </w:rPr>
        <w:t xml:space="preserve">public_mandate</w:t>
      </w:r>
      <w:r>
        <w:rPr>
          <w:b/>
          <w:bCs/>
        </w:rPr>
        <w:t xml:space="preserve">):</w:t>
      </w:r>
      <w:r>
        <w:t xml:space="preserve"> </w:t>
      </w:r>
      <w:r>
        <w:t xml:space="preserve">Amt in einer Behörde und Sitz in einer staatlichen Kommission bleiben bewusst in einem Wert. Von 24 auswertbaren Registern führen nur vier beide Kategorien getrennt (Freiburg, Neuenburg, Stadt Bern und eine Waadtländer Gemeinde); sieben kennen nur „politische Ämter”, dreizehn nur „Kommissionen und andere Organe” — welche der beiden, ist Zufall der kantonalen Vorlage. Eine Zweiteilung müsste beim Übernehmen also geraten werden, und geraten wird in jedem Kanton anders.</w:t>
      </w:r>
    </w:p>
    <w:p>
      <w:pPr>
        <w:pStyle w:val="Compact"/>
        <w:numPr>
          <w:ilvl w:val="0"/>
          <w:numId w:val="1013"/>
        </w:numPr>
      </w:pPr>
      <w:r>
        <w:rPr>
          <w:b/>
          <w:bCs/>
        </w:rPr>
        <w:t xml:space="preserve">Gegenüber entscheidet, nicht die Funktion:</w:t>
      </w:r>
      <w:r>
        <w:t xml:space="preserve"> </w:t>
      </w:r>
      <w:r>
        <w:rPr>
          <w:rStyle w:val="VerbatimChar"/>
        </w:rPr>
        <w:t xml:space="preserve">governing_body</w:t>
      </w:r>
      <w:r>
        <w:t xml:space="preserve"> </w:t>
      </w:r>
      <w:r>
        <w:t xml:space="preserve">und</w:t>
      </w:r>
      <w:r>
        <w:t xml:space="preserve"> </w:t>
      </w:r>
      <w:r>
        <w:rPr>
          <w:rStyle w:val="VerbatimChar"/>
        </w:rPr>
        <w:t xml:space="preserve">interest_group_mandate</w:t>
      </w:r>
      <w:r>
        <w:t xml:space="preserve"> </w:t>
      </w:r>
      <w:r>
        <w:t xml:space="preserve">lassen sich nicht über die Funktion trennen, denn ein Verbandspräsidium ist formal beides. Massgebend ist, was für eine Organisation gegenübersteht: Verfolgt sie einen eigenen Zweck (Unternehmen, Anstalt, Stiftung), gilt</w:t>
      </w:r>
      <w:r>
        <w:t xml:space="preserve"> </w:t>
      </w:r>
      <w:r>
        <w:rPr>
          <w:rStyle w:val="VerbatimChar"/>
        </w:rPr>
        <w:t xml:space="preserve">governing_body</w:t>
      </w:r>
      <w:r>
        <w:t xml:space="preserve">; ist ihr Zweck die Interessenvertretung selbst (Branchen-, Berufs-, Mieterverband), gilt</w:t>
      </w:r>
      <w:r>
        <w:t xml:space="preserve"> </w:t>
      </w:r>
      <w:r>
        <w:rPr>
          <w:rStyle w:val="VerbatimChar"/>
        </w:rPr>
        <w:t xml:space="preserve">interest_group_mandate</w:t>
      </w:r>
      <w:r>
        <w:t xml:space="preserve"> </w:t>
      </w:r>
      <w:r>
        <w:t xml:space="preserve">— auch dann, wenn die Funktion ein Sitz im Vorstand ist. Freiburg verbucht die Präsidentschaft der ASLOCA genau so, obwohl „Comité” dransteht. Diese Zweiteilung ist keine Erfindung der Kantone, sondern findet sich schon in Artikel 11 des Parlamentsgesetzes.</w:t>
      </w:r>
    </w:p>
    <w:p>
      <w:pPr>
        <w:pStyle w:val="Compact"/>
        <w:numPr>
          <w:ilvl w:val="0"/>
          <w:numId w:val="1013"/>
        </w:numPr>
      </w:pPr>
      <w:r>
        <w:rPr>
          <w:b/>
          <w:bCs/>
        </w:rPr>
        <w:t xml:space="preserve">Vertretung des eigenen Gemeinwesens (</w:t>
      </w:r>
      <w:r>
        <w:rPr>
          <w:rStyle w:val="VerbatimChar"/>
          <w:b/>
          <w:bCs/>
        </w:rPr>
        <w:t xml:space="preserve">is_ex_officio</w:t>
      </w:r>
      <w:r>
        <w:rPr>
          <w:b/>
          <w:bCs/>
        </w:rPr>
        <w:t xml:space="preserve">):</w:t>
      </w:r>
      <w:r>
        <w:t xml:space="preserve"> </w:t>
      </w:r>
      <w:r>
        <w:t xml:space="preserve">Ob jemand ein Mandat privat hält oder als Vertretung der eigenen Behörde wahrnimmt, wird unabhängig vom Typ der Bindung festgehalten — der Aargau teilt deswegen in „Private Ämter” und „Öffentliche Ämter”, die Stadt Schaffhausen in „Privates Engagement” und „Vertretung Stadt Schaffhausen”. Derselbe Verwaltungsratssitz bedeutet etwas anderes, je nachdem. Betroffen sind vor allem Exekutivämter, weil die Vertretung in den Organen beteiligter Organisationen dort mit dem Ressort einhergeht. Als eigenes Feld statt als Kategorie lässt sie sich mit jedem</w:t>
      </w:r>
      <w:r>
        <w:t xml:space="preserve"> </w:t>
      </w:r>
      <w:r>
        <w:rPr>
          <w:rStyle w:val="VerbatimChar"/>
        </w:rPr>
        <w:t xml:space="preserve">interest_type</w:t>
      </w:r>
      <w:r>
        <w:t xml:space="preserve"> </w:t>
      </w:r>
      <w:r>
        <w:t xml:space="preserve">kombinieren.</w:t>
      </w:r>
    </w:p>
    <w:p>
      <w:pPr>
        <w:pStyle w:val="Compact"/>
        <w:numPr>
          <w:ilvl w:val="0"/>
          <w:numId w:val="1013"/>
        </w:numPr>
      </w:pPr>
      <w:r>
        <w:rPr>
          <w:b/>
          <w:bCs/>
        </w:rPr>
        <w:t xml:space="preserve">Was der Bund an dieser Stelle führt:</w:t>
      </w:r>
      <w:r>
        <w:t xml:space="preserve"> </w:t>
      </w:r>
      <w:r>
        <w:t xml:space="preserve">Im eidgenössischen Register steht im Typfeld nicht die Kategorie, sondern die Rechtsform der Organisation (Verein, Aktiengesellschaft, Stiftung). Diese gehört im Standard in</w:t>
      </w:r>
      <w:r>
        <w:t xml:space="preserve"> </w:t>
      </w:r>
      <w:r>
        <w:rPr>
          <w:rStyle w:val="VerbatimChar"/>
        </w:rPr>
        <w:t xml:space="preserve">legal_form</w:t>
      </w:r>
      <w:r>
        <w:t xml:space="preserve">; die Kategorie ist beim Übernehmen aus Gremium und Funktion abzuleiten.</w:t>
      </w:r>
    </w:p>
    <w:p>
      <w:pPr>
        <w:pStyle w:val="Compact"/>
        <w:numPr>
          <w:ilvl w:val="0"/>
          <w:numId w:val="1013"/>
        </w:numPr>
      </w:pPr>
      <w:r>
        <w:rPr>
          <w:b/>
          <w:bCs/>
        </w:rPr>
        <w:t xml:space="preserve">Zweisprachige Register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Freiburg, Wallis und Bern publizieren Organisationsname, Gremium und Funktion in zwei Sprachen — in der Sammlung von openparldata.ch betrifft das rund 5000 der knapp 30 000 Einträge. Die drei Angaben sind deshalb wie die Gruppenbezeichnung mehrsprachig geführt: ein Eintrag je publizierter Sprache, ohne dass etwas übersetzt wird.</w:t>
      </w:r>
    </w:p>
    <w:p>
      <w:pPr>
        <w:pStyle w:val="Compact"/>
        <w:numPr>
          <w:ilvl w:val="0"/>
          <w:numId w:val="1013"/>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3"/>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33" w:name="klasse-interestlink"/>
    <w:p>
      <w:pPr>
        <w:pStyle w:val="berschrift2"/>
      </w:pPr>
      <w:r>
        <w:t xml:space="preserve">Klasse: InterestLink</w:t>
      </w:r>
      <w:r>
        <w:t xml:space="preserve"> </w:t>
      </w:r>
      <w:bookmarkStart w:id="219" w:name="InterestLink"/>
      <w:bookmarkEnd w:id="219"/>
    </w:p>
    <w:p>
      <w:pPr>
        <w:pStyle w:val="FirstParagraph"/>
      </w:pPr>
      <w:r>
        <w:rPr>
          <w:i/>
          <w:iCs/>
        </w:rPr>
        <w:t xml:space="preserve">Eine Interessenbindung (Interessenkonflikt, Politikfinanzierung) einer Person zu einer Organisation ausserhalb des Akteur-Schemas.</w:t>
      </w:r>
    </w:p>
    <w:bookmarkStart w:id="221"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den Kategorien der Offenlegungsregister folgend (berufliche Tätigkeit, Sitz in einem Führungsgremium, Mandat für eine Interessengruppe, Amt in der öffentlichen Hand, Mitgliedschaft).</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Name der Organisation oder des Unternehmens mit der Sprache, in der er publiziert wird. Zweisprachige Register führen den Namen in beiden Sprachen; erfasst wird pro Sprache ein Eintrag.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Gibt an, ob die Tätigkeit bezahlt ist.</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Person das Mandat im Auftrag des Gemeinwesens wahrnimmt, dem sie angehört — also als dessen Vertretung und nicht privat. Die Angabe ist unabhängig vom Typ der Interessenbindung und lässt sich mit jedem Wert kombinieren: Derselbe Verwaltungsratssitz ist etwas anderes, wenn die Gemeinde jemanden dorthin delegiert, als wenn er privat gehalten wird. Betroffen sind vor allem Exekutivämter, weil die Vertretung in den Organen beteiligter Organisationen dort in der Regel mit dem Ressort einhergeht.</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Gremium innerhalb der Organisation (z.B. Verwaltungsrat, Stiftungsrat, Vorstand, Aufsichtsrat, Beirat, Geschäftsleitung) mit der Sprache, in der es publiziert wird; erfasst wird pro Sprache ein Eintrag.</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Funktion oder Rolle in der Organisation (z.B. Präsident/in, Vizepräsident/in, Mitglied, Delegierter, Geschäftsführer/in, Berater/in) mit der Sprache, in der sie publiziert wird; erfasst wird pro Sprache ein Eintrag.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InterestLink – Attribute</w:t>
      </w:r>
    </w:p>
    <w:bookmarkStart w:id="220"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4"/>
        </w:numPr>
      </w:pPr>
      <w:r>
        <w:t xml:space="preserve">organization_uid</w:t>
      </w:r>
    </w:p>
    <w:p>
      <w:pPr>
        <w:pStyle w:val="Compact"/>
        <w:numPr>
          <w:ilvl w:val="0"/>
          <w:numId w:val="1014"/>
        </w:numPr>
      </w:pPr>
      <w:r>
        <w:t xml:space="preserve">organization_name</w:t>
      </w:r>
    </w:p>
    <w:bookmarkEnd w:id="220"/>
    <w:bookmarkEnd w:id="221"/>
    <w:bookmarkStart w:id="222"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p>
      <w:pPr>
        <w:pStyle w:val="Beschriftung"/>
      </w:pPr>
      <w:r>
        <w:t xml:space="preserve">Tabelle</w:t>
      </w:r>
      <w:r>
        <w:t xml:space="preserve"> </w:t>
      </w:r>
      <w:fldSimple w:instr=" SEQ Tabelle \* ARABIC ">
        <w:r>
          <w:t>1</w:t>
        </w:r>
      </w:fldSimple>
      <w:r>
        <w:t xml:space="preserve">: InterestLink – Verwendungen</w:t>
      </w:r>
    </w:p>
    <w:bookmarkEnd w:id="222"/>
    <w:bookmarkStart w:id="232" w:name="beispiele-5"/>
    <w:p>
      <w:pPr>
        <w:pStyle w:val="berschrift3"/>
      </w:pPr>
      <w:r>
        <w:t xml:space="preserve">Beispiele</w:t>
      </w:r>
    </w:p>
    <w:bookmarkStart w:id="223" w:name="Xa3693053239c5c233618b15a43d6bf2fc2dfc3b"/>
    <w:p>
      <w:pPr>
        <w:pStyle w:val="berschrift4"/>
      </w:pPr>
      <w:r>
        <w:t xml:space="preserve">Beispiel InterestLink: Verwaltungsratsmandat ohne UID und ohne Angabe zur Entschädigung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3"/>
    <w:bookmarkStart w:id="224"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4"/>
    <w:bookmarkStart w:id="225" w:name="Xb7ea69d719943b55d23572a391c348ee0f7507d"/>
    <w:p>
      <w:pPr>
        <w:pStyle w:val="berschrift4"/>
      </w:pPr>
      <w:r>
        <w:t xml:space="preserve">Beispiel InterestLink: Mandat als Vertretung der eigenen Gemeinde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5"/>
    <w:bookmarkStart w:id="226"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6"/>
    <w:bookmarkStart w:id="227" w:name="X3bb87562faf0376d64a9d9d54b9ea89e09aca8b"/>
    <w:p>
      <w:pPr>
        <w:pStyle w:val="berschrift4"/>
      </w:pPr>
      <w:r>
        <w:t xml:space="preserve">Beispiel InterestLink: Derselbe Wert für den Gremiensitz</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7"/>
    <w:bookmarkStart w:id="228" w:name="Xb58b6268c931fbf01332cfe1fc07132cec763fb"/>
    <w:p>
      <w:pPr>
        <w:pStyle w:val="berschrift4"/>
      </w:pPr>
      <w:r>
        <w:t xml:space="preserve">Beispiel InterestLink: Amt in der öffentlichen Hand auf anderer föderaler Ebene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Start w:id="229" w:name="Xcea9e7234c71b5f24a081b8f184129956e4f5f6"/>
    <w:p>
      <w:pPr>
        <w:pStyle w:val="berschrift4"/>
      </w:pPr>
      <w:r>
        <w:t xml:space="preserve">Beispiel InterestLink: Kantonale Bindung, Person aus derselben Lieferung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9"/>
    <w:bookmarkStart w:id="230" w:name="Xf4ace0f31deeeeed62b18f70fa15696a40d40d1"/>
    <w:p>
      <w:pPr>
        <w:pStyle w:val="berschrift4"/>
      </w:pPr>
      <w:r>
        <w:t xml:space="preserve">Beispiel InterestLink: Leitungstätigkeit für eine Interessengruppe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30"/>
    <w:bookmarkStart w:id="231" w:name="X7fead54fde22891326fb3ebefc6676d7dfa82fa"/>
    <w:p>
      <w:pPr>
        <w:pStyle w:val="berschrift4"/>
      </w:pPr>
      <w:r>
        <w:t xml:space="preserve">Beispiel InterestLink: Verbandspräsidium — Gegenüber entscheidet, nicht die Funktion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31"/>
    <w:bookmarkEnd w:id="232"/>
    <w:bookmarkEnd w:id="233"/>
    <w:bookmarkStart w:id="243" w:name="enum-interesttypeenum"/>
    <w:p>
      <w:pPr>
        <w:pStyle w:val="berschrift2"/>
      </w:pPr>
      <w:r>
        <w:t xml:space="preserve">Enum: InterestTypeEnum</w:t>
      </w:r>
      <w:r>
        <w:t xml:space="preserve"> </w:t>
      </w:r>
      <w:bookmarkStart w:id="234" w:name="InterestTypeEnum"/>
      <w:bookmarkEnd w:id="234"/>
    </w:p>
    <w:p>
      <w:pPr>
        <w:pStyle w:val="FirstParagraph"/>
      </w:pPr>
      <w:r>
        <w:rPr>
          <w:i/>
          <w:iCs/>
        </w:rPr>
        <w:t xml:space="preserve">Typen von Interessenbindungen (Interessenkonflikte, Politikfinanzierung).</w:t>
      </w:r>
    </w:p>
    <w:p>
      <w:pPr>
        <w:pStyle w:val="Textkrper"/>
      </w:pPr>
      <w:r>
        <w:t xml:space="preserve">URI:</w:t>
      </w:r>
      <w:r>
        <w:t xml:space="preserve"> </w:t>
      </w:r>
      <w:hyperlink ns1:id="rId235">
        <w:r>
          <w:rPr>
            <w:rStyle w:val="Hyperlink"/>
          </w:rPr>
          <w:t xml:space="preserve">act:InterestTypeEnum</w:t>
        </w:r>
      </w:hyperlink>
    </w:p>
    <w:bookmarkStart w:id="242"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Erwerbstätigkeit ausserhalb des politischen Mandats: Anstellung, selbstständige Tätigkeit, das eigene operativ geführte Unternehmen. Bei Angestellten werden Arbeitgeber und Funktion angegeben. Prüffrage: Verdient die Person hier ihren Lebensunterhalt?</w:t>
            </w:r>
          </w:p>
        </w:tc>
      </w:tr>
      <w:tr>
        <w:tc>
          <w:tcPr/>
          <w:p>
            <w:pPr>
              <w:pStyle w:val="Compact"/>
            </w:pPr>
          </w:p>
        </w:tc>
        <w:tc>
          <w:tcPr/>
          <w:p>
            <w:pPr>
              <w:pStyle w:val="Compact"/>
            </w:pPr>
            <w:hyperlink ns1:id="rId236">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Sitz in einem Führungs-, Aufsichts- oder Beratungsgremium einer Organisation, die einem eigenen Zweck nachgeht — Verwaltungsrat, Stiftungsrat, Beirat —, unabhängig von Rechtsform und Entschädigung. Prüffrage: Steuert die Person eine Organisation mit, ohne dort angestellt zu sein?</w:t>
            </w:r>
          </w:p>
        </w:tc>
      </w:tr>
      <w:tr>
        <w:tc>
          <w:tcPr/>
          <w:p>
            <w:pPr>
              <w:pStyle w:val="Compact"/>
            </w:pPr>
          </w:p>
        </w:tc>
        <w:tc>
          <w:tcPr/>
          <w:p>
            <w:pPr>
              <w:pStyle w:val="Compact"/>
            </w:pPr>
            <w:hyperlink ns1:id="rId237">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Dauernde Leitungs- oder Beratungsfunktion für eine Interessengruppe oder einen Verband — also für eine Organisation, deren Zweck die Interessenvertretung selbst ist. Massgebend ist das Gegenüber, nicht die Funktion: Ist der Zweck der Organisation die Vertretung von Interessen, gilt dieser Wert auch dann, wenn die Funktion ein Sitz in einem Führungsgremium ist. Anders als</w:t>
            </w:r>
            <w:r>
              <w:t xml:space="preserve"> </w:t>
            </w:r>
            <w:r>
              <w:rPr>
                <w:rStyle w:val="VerbatimChar"/>
              </w:rPr>
              <w:t xml:space="preserve">governing_body</w:t>
            </w:r>
            <w:r>
              <w:t xml:space="preserve"> </w:t>
            </w:r>
            <w:r>
              <w:t xml:space="preserve">erfasst er zudem dauernde Beratungsmandate ohne Sitz in einem Gremium.</w:t>
            </w:r>
          </w:p>
        </w:tc>
      </w:tr>
      <w:tr>
        <w:tc>
          <w:tcPr/>
          <w:p>
            <w:pPr>
              <w:pStyle w:val="Compact"/>
            </w:pPr>
          </w:p>
        </w:tc>
        <w:tc>
          <w:tcPr/>
          <w:p>
            <w:pPr>
              <w:pStyle w:val="Compact"/>
            </w:pPr>
            <w:hyperlink ns1:id="rId238">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Amt oder Gremiensitz in der öffentlichen Hand auf einer anderen föderalen Ebene oder in einer anderen Körperschaft: Sitz in einer Gemeindeexekutive oder einem Gemeindeparlament, in einer Schulpflege oder Kirchgemeinde, ebenso die Mitwirkung in einer Kommission oder einem anderen Organ des Bundes, eines Kantons, einer Gemeinde oder der interkantonalen und interkommunalen Zusammenarbeit. Die meisten Register unterscheiden die beiden Fälle nicht, deshalb führt der Standard sie in einem Wert. Das Mandat, für das offengelegt wird, gehört nie hierher; ob die Person das Mandat als Vertretung ihres eigenen Gemeinwesens wahrnimmt, sagt</w:t>
            </w:r>
            <w:r>
              <w:t xml:space="preserve"> </w:t>
            </w:r>
            <w:r>
              <w:rPr>
                <w:rStyle w:val="VerbatimChar"/>
              </w:rPr>
              <w:t xml:space="preserve">is_ex_officio</w:t>
            </w:r>
            <w:r>
              <w:t xml:space="preserve">.</w:t>
            </w:r>
          </w:p>
        </w:tc>
      </w:tr>
      <w:tr>
        <w:tc>
          <w:tcPr/>
          <w:p>
            <w:pPr>
              <w:pStyle w:val="Compact"/>
            </w:pPr>
          </w:p>
        </w:tc>
        <w:tc>
          <w:tcPr/>
          <w:p>
            <w:pPr>
              <w:pStyle w:val="Compact"/>
            </w:pPr>
            <w:hyperlink ns1:id="rId239">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Blosse Mitgliedschaft in einem Verein, Verband oder einer Interessenorganisation, ohne Leitungsfunktion und ohne Sitz in einem Gremium. Wird eine Funktion ausgeübt, gilt</w:t>
            </w:r>
            <w:r>
              <w:t xml:space="preserve"> </w:t>
            </w:r>
            <w:r>
              <w:rPr>
                <w:rStyle w:val="VerbatimChar"/>
              </w:rPr>
              <w:t xml:space="preserve">governing_body</w:t>
            </w:r>
            <w:r>
              <w:t xml:space="preserve"> </w:t>
            </w:r>
            <w:r>
              <w:t xml:space="preserve">oder</w:t>
            </w:r>
            <w:r>
              <w:t xml:space="preserve"> </w:t>
            </w:r>
            <w:r>
              <w:rPr>
                <w:rStyle w:val="VerbatimChar"/>
              </w:rPr>
              <w:t xml:space="preserve">interest_group_mandate</w:t>
            </w:r>
            <w:r>
              <w:t xml:space="preserve">.</w:t>
            </w:r>
          </w:p>
        </w:tc>
      </w:tr>
      <w:tr>
        <w:tc>
          <w:tcPr/>
          <w:p>
            <w:pPr>
              <w:pStyle w:val="Compact"/>
            </w:pPr>
          </w:p>
        </w:tc>
        <w:tc>
          <w:tcPr/>
          <w:p>
            <w:pPr>
              <w:pStyle w:val="Compact"/>
            </w:pPr>
            <w:hyperlink ns1:id="rId240">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Interessenbindung, die keiner der übrigen Werte abdeckt. Die publizierte Bezeichnung gehört in</w:t>
            </w:r>
            <w:r>
              <w:t xml:space="preserve"> </w:t>
            </w:r>
            <w:r>
              <w:rPr>
                <w:rStyle w:val="VerbatimChar"/>
              </w:rPr>
              <w:t xml:space="preserve">function_role</w:t>
            </w:r>
            <w:r>
              <w:t xml:space="preserve"> </w:t>
            </w:r>
            <w:r>
              <w:t xml:space="preserve">oder</w:t>
            </w:r>
            <w:r>
              <w:t xml:space="preserve"> </w:t>
            </w:r>
            <w:r>
              <w:rPr>
                <w:rStyle w:val="VerbatimChar"/>
              </w:rPr>
              <w:t xml:space="preserve">organization_name</w:t>
            </w:r>
            <w:r>
              <w:t xml:space="preserve">, damit der Eintrag lesbar bleibt.</w:t>
            </w:r>
          </w:p>
        </w:tc>
      </w:tr>
      <w:tr>
        <w:tc>
          <w:tcPr/>
          <w:p>
            <w:pPr>
              <w:pStyle w:val="Compact"/>
            </w:pPr>
          </w:p>
        </w:tc>
        <w:tc>
          <w:tcPr/>
          <w:p>
            <w:pPr>
              <w:pStyle w:val="Compact"/>
            </w:pPr>
            <w:hyperlink ns1:id="rId241">
              <w:r>
                <w:rPr>
                  <w:rStyle w:val="Hyperlink"/>
                </w:rPr>
                <w:t xml:space="preserve">act:enum/interest_type/other</w:t>
              </w:r>
            </w:hyperlink>
          </w:p>
        </w:tc>
      </w:tr>
    </w:tbl>
    <w:p>
      <w:pPr>
        <w:pStyle w:val="Beschriftung"/>
      </w:pPr>
      <w:r>
        <w:t xml:space="preserve">Tabelle</w:t>
      </w:r>
      <w:r>
        <w:t xml:space="preserve"> </w:t>
      </w:r>
      <w:fldSimple w:instr=" SEQ Tabelle \* ARABIC ">
        <w:r>
          <w:t>1</w:t>
        </w:r>
      </w:fldSimple>
      <w:r>
        <w:t xml:space="preserve">: InterestTypeEnum – Zulässige Werte</w:t>
      </w:r>
    </w:p>
    <w:bookmarkEnd w:id="242"/>
    <w:bookmarkEnd w:id="243"/>
    <w:bookmarkStart w:id="285" w:name="enum-legalformenum"/>
    <w:p>
      <w:pPr>
        <w:pStyle w:val="berschrift2"/>
      </w:pPr>
      <w:r>
        <w:t xml:space="preserve">Enum: LegalFormEnum</w:t>
      </w:r>
      <w:r>
        <w:t xml:space="preserve"> </w:t>
      </w:r>
      <w:bookmarkStart w:id="244" w:name="LegalFormEnum"/>
      <w:bookmarkEnd w:id="244"/>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45">
        <w:r>
          <w:rPr>
            <w:rStyle w:val="Hyperlink"/>
          </w:rPr>
          <w:t xml:space="preserve">act:LegalFormEnum</w:t>
        </w:r>
      </w:hyperlink>
    </w:p>
    <w:bookmarkStart w:id="284"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4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4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4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4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5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5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5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5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5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5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5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5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5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5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6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6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6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6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6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6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6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6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6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6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7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7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7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7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7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7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7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7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7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7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8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8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8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83">
              <w:r>
                <w:rPr>
                  <w:rStyle w:val="Hyperlink"/>
                </w:rPr>
                <w:t xml:space="preserve">https://register.ld.admin.ch/i14y/concept/legalForm/0571</w:t>
              </w:r>
            </w:hyperlink>
          </w:p>
        </w:tc>
      </w:tr>
    </w:tbl>
    <w:p>
      <w:pPr>
        <w:pStyle w:val="Beschriftung"/>
      </w:pPr>
      <w:r>
        <w:t xml:space="preserve">Tabelle</w:t>
      </w:r>
      <w:r>
        <w:t xml:space="preserve"> </w:t>
      </w:r>
      <w:fldSimple w:instr=" SEQ Tabelle \* ARABIC ">
        <w:r>
          <w:t>1</w:t>
        </w:r>
      </w:fldSimple>
      <w:r>
        <w:t xml:space="preserve">: LegalFormEnum – Zulässige Werte</w:t>
      </w:r>
    </w:p>
    <w:bookmarkEnd w:id="284"/>
    <w:p>
      <w:r>
        <w:br w:type="page"/>
      </w:r>
    </w:p>
    <w:bookmarkEnd w:id="285"/>
    <w:bookmarkEnd w:id="286"/>
    <w:bookmarkStart w:id="334" w:name="geteilte-elemente"/>
    <w:p>
      <w:pPr>
        <w:pStyle w:val="berschrift1"/>
      </w:pPr>
      <w:r>
        <w:t xml:space="preserve">Geteilte Elemente</w:t>
      </w:r>
    </w:p>
    <w:bookmarkStart w:id="287"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5"/>
        </w:numPr>
      </w:pPr>
      <w:r>
        <w:rPr>
          <w:b/>
          <w:bCs/>
        </w:rPr>
        <w:t xml:space="preserve">Nützliche lokale Daten</w:t>
      </w:r>
      <w:r>
        <w:t xml:space="preserve"> </w:t>
      </w:r>
      <w:r>
        <w:t xml:space="preserve">ohne aufwändige Abfragen der vollständigen Entität</w:t>
      </w:r>
    </w:p>
    <w:p>
      <w:pPr>
        <w:pStyle w:val="Compact"/>
        <w:numPr>
          <w:ilvl w:val="0"/>
          <w:numId w:val="1015"/>
        </w:numPr>
      </w:pPr>
      <w:r>
        <w:rPr>
          <w:b/>
          <w:bCs/>
        </w:rPr>
        <w:t xml:space="preserve">Keine Redundanz</w:t>
      </w:r>
      <w:r>
        <w:t xml:space="preserve">, da nicht alle Informationen bei jeder Erwähnung wiederholt werden müssen</w:t>
      </w:r>
    </w:p>
    <w:p>
      <w:pPr>
        <w:pStyle w:val="Compact"/>
        <w:numPr>
          <w:ilvl w:val="0"/>
          <w:numId w:val="1015"/>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87"/>
    <w:bookmarkStart w:id="292" w:name="klasse-personreference"/>
    <w:p>
      <w:pPr>
        <w:pStyle w:val="berschrift2"/>
      </w:pPr>
      <w:r>
        <w:t xml:space="preserve">Klasse: PersonReference</w:t>
      </w:r>
      <w:r>
        <w:t xml:space="preserve"> </w:t>
      </w:r>
      <w:bookmarkStart w:id="288" w:name="PersonReference"/>
      <w:bookmarkEnd w:id="288"/>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90"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p>
      <w:pPr>
        <w:pStyle w:val="Beschriftung"/>
      </w:pPr>
      <w:r>
        <w:t xml:space="preserve">Tabelle</w:t>
      </w:r>
      <w:r>
        <w:t xml:space="preserve"> </w:t>
      </w:r>
      <w:fldSimple w:instr=" SEQ Tabelle \* ARABIC ">
        <w:r>
          <w:t>1</w:t>
        </w:r>
      </w:fldSimple>
      <w:r>
        <w:t xml:space="preserve">: PersonReference – Attribute</w:t>
      </w:r>
    </w:p>
    <w:bookmarkStart w:id="289"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r>
        <w:t xml:space="preserve">local_id</w:t>
      </w:r>
    </w:p>
    <w:p>
      <w:pPr>
        <w:pStyle w:val="Compact"/>
        <w:numPr>
          <w:ilvl w:val="0"/>
          <w:numId w:val="1016"/>
        </w:numPr>
      </w:pPr>
      <w:r>
        <w:t xml:space="preserve">global_uri</w:t>
      </w:r>
    </w:p>
    <w:bookmarkEnd w:id="289"/>
    <w:bookmarkEnd w:id="290"/>
    <w:bookmarkStart w:id="291"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p>
      <w:pPr>
        <w:pStyle w:val="Beschriftung"/>
      </w:pPr>
      <w:r>
        <w:t xml:space="preserve">Tabelle</w:t>
      </w:r>
      <w:r>
        <w:t xml:space="preserve"> </w:t>
      </w:r>
      <w:fldSimple w:instr=" SEQ Tabelle \* ARABIC ">
        <w:r>
          <w:t>1</w:t>
        </w:r>
      </w:fldSimple>
      <w:r>
        <w:t xml:space="preserve">: PersonReference – Verwendungen</w:t>
      </w:r>
    </w:p>
    <w:bookmarkEnd w:id="291"/>
    <w:bookmarkEnd w:id="292"/>
    <w:bookmarkStart w:id="297" w:name="klasse-groupreference"/>
    <w:p>
      <w:pPr>
        <w:pStyle w:val="berschrift2"/>
      </w:pPr>
      <w:r>
        <w:t xml:space="preserve">Klasse: GroupReference</w:t>
      </w:r>
      <w:r>
        <w:t xml:space="preserve"> </w:t>
      </w:r>
      <w:bookmarkStart w:id="293" w:name="GroupReference"/>
      <w:bookmarkEnd w:id="293"/>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95"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p>
      <w:pPr>
        <w:pStyle w:val="Beschriftung"/>
      </w:pPr>
      <w:r>
        <w:t xml:space="preserve">Tabelle</w:t>
      </w:r>
      <w:r>
        <w:t xml:space="preserve"> </w:t>
      </w:r>
      <w:fldSimple w:instr=" SEQ Tabelle \* ARABIC ">
        <w:r>
          <w:t>1</w:t>
        </w:r>
      </w:fldSimple>
      <w:r>
        <w:t xml:space="preserve">: GroupReference – Attribute</w:t>
      </w:r>
    </w:p>
    <w:bookmarkStart w:id="294"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r>
        <w:t xml:space="preserve">local_id</w:t>
      </w:r>
    </w:p>
    <w:p>
      <w:pPr>
        <w:pStyle w:val="Compact"/>
        <w:numPr>
          <w:ilvl w:val="0"/>
          <w:numId w:val="1017"/>
        </w:numPr>
      </w:pPr>
      <w:r>
        <w:t xml:space="preserve">global_uri</w:t>
      </w:r>
    </w:p>
    <w:bookmarkEnd w:id="294"/>
    <w:bookmarkEnd w:id="295"/>
    <w:bookmarkStart w:id="296"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p>
      <w:pPr>
        <w:pStyle w:val="Beschriftung"/>
      </w:pPr>
      <w:r>
        <w:t xml:space="preserve">Tabelle</w:t>
      </w:r>
      <w:r>
        <w:t xml:space="preserve"> </w:t>
      </w:r>
      <w:fldSimple w:instr=" SEQ Tabelle \* ARABIC ">
        <w:r>
          <w:t>1</w:t>
        </w:r>
      </w:fldSimple>
      <w:r>
        <w:t xml:space="preserve">: GroupReference – Verwendungen</w:t>
      </w:r>
    </w:p>
    <w:bookmarkEnd w:id="296"/>
    <w:bookmarkEnd w:id="297"/>
    <w:bookmarkStart w:id="300"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98">
        <w:r>
          <w:rPr>
            <w:rStyle w:val="Hyperlink"/>
          </w:rPr>
          <w:t xml:space="preserve">Such-API von geo.admin.ch</w:t>
        </w:r>
      </w:hyperlink>
      <w:r>
        <w:t xml:space="preserve"> </w:t>
      </w:r>
      <w:r>
        <w:t xml:space="preserve">benutzen oder mit dem</w:t>
      </w:r>
      <w:r>
        <w:t xml:space="preserve"> </w:t>
      </w:r>
      <w:hyperlink ns1:id="rId299">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300"/>
    <w:bookmarkStart w:id="308" w:name="klasse-address"/>
    <w:p>
      <w:pPr>
        <w:pStyle w:val="berschrift2"/>
      </w:pPr>
      <w:r>
        <w:t xml:space="preserve">Klasse: Address</w:t>
      </w:r>
      <w:r>
        <w:t xml:space="preserve"> </w:t>
      </w:r>
      <w:bookmarkStart w:id="301" w:name="Address"/>
      <w:bookmarkEnd w:id="301"/>
    </w:p>
    <w:p>
      <w:pPr>
        <w:pStyle w:val="FirstParagraph"/>
      </w:pPr>
      <w:r>
        <w:rPr>
          <w:i/>
          <w:iCs/>
        </w:rPr>
        <w:t xml:space="preserve">Eine Adresse mit einem Typ (z.B. Privatadresse, Geschäftsadresse) und einem Wert.</w:t>
      </w:r>
    </w:p>
    <w:bookmarkStart w:id="30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Ländercode.</w:t>
            </w:r>
          </w:p>
        </w:tc>
      </w:tr>
    </w:tbl>
    <w:p>
      <w:pPr>
        <w:pStyle w:val="Beschriftung"/>
      </w:pPr>
      <w:r>
        <w:t xml:space="preserve">Tabelle</w:t>
      </w:r>
      <w:r>
        <w:t xml:space="preserve"> </w:t>
      </w:r>
      <w:fldSimple w:instr=" SEQ Tabelle \* ARABIC ">
        <w:r>
          <w:t>1</w:t>
        </w:r>
      </w:fldSimple>
      <w:r>
        <w:t xml:space="preserve">: Address – Attribute</w:t>
      </w:r>
    </w:p>
    <w:bookmarkStart w:id="302"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8"/>
        </w:numPr>
      </w:pPr>
      <w:r>
        <w:t xml:space="preserve">postal_locality</w:t>
      </w:r>
    </w:p>
    <w:p>
      <w:pPr>
        <w:pStyle w:val="Compact"/>
        <w:numPr>
          <w:ilvl w:val="0"/>
          <w:numId w:val="1018"/>
        </w:numPr>
      </w:pPr>
      <w:r>
        <w:t xml:space="preserve">address_uri</w:t>
      </w:r>
    </w:p>
    <w:bookmarkEnd w:id="302"/>
    <w:bookmarkEnd w:id="303"/>
    <w:bookmarkStart w:id="304" w:name="verwendungen-1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p>
      <w:pPr>
        <w:pStyle w:val="Beschriftung"/>
      </w:pPr>
      <w:r>
        <w:t xml:space="preserve">Tabelle</w:t>
      </w:r>
      <w:r>
        <w:t xml:space="preserve"> </w:t>
      </w:r>
      <w:fldSimple w:instr=" SEQ Tabelle \* ARABIC ">
        <w:r>
          <w:t>1</w:t>
        </w:r>
      </w:fldSimple>
      <w:r>
        <w:t xml:space="preserve">: Address – Verwendungen</w:t>
      </w:r>
    </w:p>
    <w:bookmarkEnd w:id="304"/>
    <w:bookmarkStart w:id="307" w:name="beispiele-6"/>
    <w:p>
      <w:pPr>
        <w:pStyle w:val="berschrift3"/>
      </w:pPr>
      <w:r>
        <w:t xml:space="preserve">Beispiele</w:t>
      </w:r>
    </w:p>
    <w:bookmarkStart w:id="305"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5"/>
    <w:bookmarkStart w:id="306"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6"/>
    <w:bookmarkEnd w:id="307"/>
    <w:bookmarkEnd w:id="308"/>
    <w:bookmarkStart w:id="312" w:name="enum-addresstypeenum"/>
    <w:p>
      <w:pPr>
        <w:pStyle w:val="berschrift2"/>
      </w:pPr>
      <w:r>
        <w:t xml:space="preserve">Enum: AddressTypeEnum</w:t>
      </w:r>
      <w:r>
        <w:t xml:space="preserve"> </w:t>
      </w:r>
      <w:bookmarkStart w:id="309" w:name="AddressTypeEnum"/>
      <w:bookmarkEnd w:id="309"/>
    </w:p>
    <w:p>
      <w:pPr>
        <w:pStyle w:val="FirstParagraph"/>
      </w:pPr>
      <w:r>
        <w:rPr>
          <w:i/>
          <w:iCs/>
        </w:rPr>
        <w:t xml:space="preserve">Adresstypen.</w:t>
      </w:r>
    </w:p>
    <w:p>
      <w:pPr>
        <w:pStyle w:val="Textkrper"/>
      </w:pPr>
      <w:r>
        <w:t xml:space="preserve">URI:</w:t>
      </w:r>
      <w:r>
        <w:t xml:space="preserve"> </w:t>
      </w:r>
      <w:hyperlink ns1:id="rId310">
        <w:r>
          <w:rPr>
            <w:rStyle w:val="Hyperlink"/>
          </w:rPr>
          <w:t xml:space="preserve">act:AddressTypeEnum</w:t>
        </w:r>
      </w:hyperlink>
    </w:p>
    <w:bookmarkStart w:id="311"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p>
      <w:pPr>
        <w:pStyle w:val="Beschriftung"/>
      </w:pPr>
      <w:r>
        <w:t xml:space="preserve">Tabelle</w:t>
      </w:r>
      <w:r>
        <w:t xml:space="preserve"> </w:t>
      </w:r>
      <w:fldSimple w:instr=" SEQ Tabelle \* ARABIC ">
        <w:r>
          <w:t>1</w:t>
        </w:r>
      </w:fldSimple>
      <w:r>
        <w:t xml:space="preserve">: AddressTypeEnum – Zulässige Werte</w:t>
      </w:r>
    </w:p>
    <w:bookmarkEnd w:id="311"/>
    <w:bookmarkEnd w:id="312"/>
    <w:bookmarkStart w:id="316" w:name="klasse-contact"/>
    <w:p>
      <w:pPr>
        <w:pStyle w:val="berschrift2"/>
      </w:pPr>
      <w:r>
        <w:t xml:space="preserve">Klasse: Contact</w:t>
      </w:r>
      <w:r>
        <w:t xml:space="preserve"> </w:t>
      </w:r>
      <w:bookmarkStart w:id="313" w:name="Contact"/>
      <w:bookmarkEnd w:id="313"/>
    </w:p>
    <w:p>
      <w:pPr>
        <w:pStyle w:val="FirstParagraph"/>
      </w:pPr>
      <w:r>
        <w:rPr>
          <w:i/>
          <w:iCs/>
        </w:rPr>
        <w:t xml:space="preserve">Kontaktinformation einer Person mit Angabe eines Typs (z.B. E-Mail, LinkedIn) und eines Werts.</w:t>
      </w:r>
    </w:p>
    <w:bookmarkStart w:id="31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bl>
    <w:p>
      <w:pPr>
        <w:pStyle w:val="Beschriftung"/>
      </w:pPr>
      <w:r>
        <w:t xml:space="preserve">Tabelle</w:t>
      </w:r>
      <w:r>
        <w:t xml:space="preserve"> </w:t>
      </w:r>
      <w:fldSimple w:instr=" SEQ Tabelle \* ARABIC ">
        <w:r>
          <w:t>1</w:t>
        </w:r>
      </w:fldSimple>
      <w:r>
        <w:t xml:space="preserve">: Contact – Attribute</w:t>
      </w:r>
    </w:p>
    <w:bookmarkEnd w:id="314"/>
    <w:bookmarkStart w:id="315" w:name="verwendungen-1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p>
      <w:pPr>
        <w:pStyle w:val="Beschriftung"/>
      </w:pPr>
      <w:r>
        <w:t xml:space="preserve">Tabelle</w:t>
      </w:r>
      <w:r>
        <w:t xml:space="preserve"> </w:t>
      </w:r>
      <w:fldSimple w:instr=" SEQ Tabelle \* ARABIC ">
        <w:r>
          <w:t>1</w:t>
        </w:r>
      </w:fldSimple>
      <w:r>
        <w:t xml:space="preserve">: Contact – Verwendungen</w:t>
      </w:r>
    </w:p>
    <w:bookmarkEnd w:id="315"/>
    <w:bookmarkEnd w:id="316"/>
    <w:bookmarkStart w:id="317" w:name="mixin-klassen"/>
    <w:p>
      <w:pPr>
        <w:pStyle w:val="berschrift2"/>
      </w:pPr>
      <w:r>
        <w:t xml:space="preserve">Mixin-Klassen</w:t>
      </w:r>
    </w:p>
    <w:p>
      <w:pPr>
        <w:pStyle w:val="FirstParagraph"/>
      </w:pPr>
      <w:r>
        <w:t xml:space="preserve">Vier Klassen tragen keine eigenen Daten, sondern bündeln Slots, die in vielen Klassen gleich aussehen: die Identifikation einer Entität, die Identifikation einer Referenz, die zeitliche Gültigkeit und die Erstellungs- und Änderungsdaten. Sie stammen aus dem gemeinsamen Schema der Fachgruppe (eCH-0292) und werden von den Standards der Fachgruppe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vier folgenden Abschnitte erklären, was hinter dieser Angabe steht.</w:t>
      </w:r>
    </w:p>
    <w:bookmarkEnd w:id="317"/>
    <w:bookmarkStart w:id="321" w:name="klasse-hasidentification"/>
    <w:p>
      <w:pPr>
        <w:pStyle w:val="berschrift2"/>
      </w:pPr>
      <w:r>
        <w:t xml:space="preserve">Klasse: HasIdentification</w:t>
      </w:r>
      <w:r>
        <w:t xml:space="preserve"> </w:t>
      </w:r>
      <w:bookmarkStart w:id="318" w:name="HasIdentification"/>
      <w:bookmarkEnd w:id="318"/>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319"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p>
      <w:pPr>
        <w:pStyle w:val="Beschriftung"/>
      </w:pPr>
      <w:r>
        <w:t xml:space="preserve">Tabelle</w:t>
      </w:r>
      <w:r>
        <w:t xml:space="preserve"> </w:t>
      </w:r>
      <w:fldSimple w:instr=" SEQ Tabelle \* ARABIC ">
        <w:r>
          <w:t>1</w:t>
        </w:r>
      </w:fldSimple>
      <w:r>
        <w:t xml:space="preserve">: HasIdentification – Attribute</w:t>
      </w:r>
    </w:p>
    <w:bookmarkEnd w:id="319"/>
    <w:bookmarkStart w:id="320" w:name="mixin-verwendung"/>
    <w:p>
      <w:pPr>
        <w:pStyle w:val="berschrift3"/>
      </w:pPr>
      <w:r>
        <w:t xml:space="preserve">Mixin-Verwendung</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20"/>
    <w:bookmarkEnd w:id="321"/>
    <w:bookmarkStart w:id="325" w:name="klasse-hasreferenceidentification"/>
    <w:p>
      <w:pPr>
        <w:pStyle w:val="berschrift2"/>
      </w:pPr>
      <w:r>
        <w:t xml:space="preserve">Klasse: HasReferenceIdentification</w:t>
      </w:r>
      <w:r>
        <w:t xml:space="preserve"> </w:t>
      </w:r>
      <w:bookmarkStart w:id="322" w:name="HasReferenceIdentification"/>
      <w:bookmarkEnd w:id="322"/>
    </w:p>
    <w:p>
      <w:pPr>
        <w:pStyle w:val="FirstParagraph"/>
      </w:pPr>
      <w:r>
        <w:rPr>
          <w:i/>
          <w:iCs/>
        </w:rPr>
        <w:t xml:space="preserve">Eine Mixin-Klasse, welche die Slots bereitstellt, mit denen eine Referenz die Entität benennt, auf die sie zeigt. Im Unterschied zu</w:t>
      </w:r>
      <w:r>
        <w:rPr>
          <w:i/>
          <w:iCs/>
        </w:rPr>
        <w:t xml:space="preserve"> </w:t>
      </w:r>
      <w:r>
        <w:rPr>
          <w:rStyle w:val="VerbatimChar"/>
          <w:i/>
          <w:iCs/>
        </w:rPr>
        <w:t xml:space="preserve">HasIdentification</w:t>
      </w:r>
      <w:r>
        <w:rPr>
          <w:i/>
          <w:iCs/>
        </w:rPr>
        <w:t xml:space="preserve"> </w:t>
      </w:r>
      <w:r>
        <w:rPr>
          <w:i/>
          <w:iCs/>
        </w:rPr>
        <w:t xml:space="preserve">identifiziert sie nicht das referenzierende Objekt selbst; deshalb ist</w:t>
      </w:r>
      <w:r>
        <w:rPr>
          <w:i/>
          <w:iCs/>
        </w:rPr>
        <w:t xml:space="preserve"> </w:t>
      </w:r>
      <w:r>
        <w:rPr>
          <w:rStyle w:val="VerbatimChar"/>
          <w:i/>
          <w:iCs/>
        </w:rPr>
        <w:t xml:space="preserve">global_uri</w:t>
      </w:r>
      <w:r>
        <w:rPr>
          <w:i/>
          <w:iCs/>
        </w:rPr>
        <w:t xml:space="preserve"> </w:t>
      </w:r>
      <w:r>
        <w:rPr>
          <w:i/>
          <w:iCs/>
        </w:rPr>
        <w:t xml:space="preserve">hier weder Identifikator noch obligatorisch: Ein System, das nur die lokale Id der referenzierten Entität führt, gibt diese an. Eine Referenzklasse, die diesen Mixin verwendet, soll mindestens eines von beiden verlangen.</w:t>
      </w:r>
    </w:p>
    <w:bookmarkStart w:id="323"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p>
      <w:pPr>
        <w:pStyle w:val="Beschriftung"/>
      </w:pPr>
      <w:r>
        <w:t xml:space="preserve">Tabelle</w:t>
      </w:r>
      <w:r>
        <w:t xml:space="preserve"> </w:t>
      </w:r>
      <w:fldSimple w:instr=" SEQ Tabelle \* ARABIC ">
        <w:r>
          <w:t>1</w:t>
        </w:r>
      </w:fldSimple>
      <w:r>
        <w:t xml:space="preserve">: HasReferenceIdentification – Attribute</w:t>
      </w:r>
    </w:p>
    <w:bookmarkEnd w:id="323"/>
    <w:bookmarkStart w:id="324" w:name="mixin-verwendung-1"/>
    <w:p>
      <w:pPr>
        <w:pStyle w:val="berschrift3"/>
      </w:pPr>
      <w:r>
        <w:t xml:space="preserve">Mixin-Verwendung</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4"/>
    <w:bookmarkEnd w:id="325"/>
    <w:bookmarkStart w:id="329" w:name="klasse-hastemporalvalidity"/>
    <w:p>
      <w:pPr>
        <w:pStyle w:val="berschrift2"/>
      </w:pPr>
      <w:r>
        <w:t xml:space="preserve">Klasse: HasTemporalValidity</w:t>
      </w:r>
      <w:r>
        <w:t xml:space="preserve"> </w:t>
      </w:r>
      <w:bookmarkStart w:id="326" w:name="HasTemporalValidity"/>
      <w:bookmarkEnd w:id="326"/>
    </w:p>
    <w:p>
      <w:pPr>
        <w:pStyle w:val="FirstParagraph"/>
      </w:pPr>
      <w:r>
        <w:rPr>
          <w:i/>
          <w:iCs/>
        </w:rPr>
        <w:t xml:space="preserve">Eine Mixin-Klasse, die Slots für die Modellierung einer zeitlichen Gültigkeit einer Information (nicht eines Events) zur Verfügung stellt.</w:t>
      </w:r>
    </w:p>
    <w:bookmarkStart w:id="327"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p>
        </w:tc>
      </w:tr>
    </w:tbl>
    <w:p>
      <w:pPr>
        <w:pStyle w:val="Beschriftung"/>
      </w:pPr>
      <w:r>
        <w:t xml:space="preserve">Tabelle</w:t>
      </w:r>
      <w:r>
        <w:t xml:space="preserve"> </w:t>
      </w:r>
      <w:fldSimple w:instr=" SEQ Tabelle \* ARABIC ">
        <w:r>
          <w:t>1</w:t>
        </w:r>
      </w:fldSimple>
      <w:r>
        <w:t xml:space="preserve">: HasTemporalValidity – Attribute</w:t>
      </w:r>
    </w:p>
    <w:bookmarkEnd w:id="327"/>
    <w:bookmarkStart w:id="328" w:name="mixin-verwendung-2"/>
    <w:p>
      <w:pPr>
        <w:pStyle w:val="berschrift3"/>
      </w:pPr>
      <w:r>
        <w:t xml:space="preserve">Mixin-Verwendung</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8"/>
    <w:bookmarkEnd w:id="329"/>
    <w:bookmarkStart w:id="333" w:name="klasse-hascreationmodificationdates"/>
    <w:p>
      <w:pPr>
        <w:pStyle w:val="berschrift2"/>
      </w:pPr>
      <w:r>
        <w:t xml:space="preserve">Klasse: HasCreationModificationDates</w:t>
      </w:r>
      <w:r>
        <w:t xml:space="preserve"> </w:t>
      </w:r>
      <w:bookmarkStart w:id="330" w:name="HasCreationModificationDates"/>
      <w:bookmarkEnd w:id="330"/>
    </w:p>
    <w:p>
      <w:pPr>
        <w:pStyle w:val="FirstParagraph"/>
      </w:pPr>
      <w:r>
        <w:rPr>
          <w:i/>
          <w:iCs/>
        </w:rPr>
        <w:t xml:space="preserve">Eine Mixin-Klasse, die Slots für die Modellierung von Erstellungs- und Änderungsdaten einer Entität zur Verfügung stellt.</w:t>
      </w:r>
    </w:p>
    <w:bookmarkStart w:id="331"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p>
      <w:pPr>
        <w:pStyle w:val="Beschriftung"/>
      </w:pPr>
      <w:r>
        <w:t xml:space="preserve">Tabelle</w:t>
      </w:r>
      <w:r>
        <w:t xml:space="preserve"> </w:t>
      </w:r>
      <w:fldSimple w:instr=" SEQ Tabelle \* ARABIC ">
        <w:r>
          <w:t>1</w:t>
        </w:r>
      </w:fldSimple>
      <w:r>
        <w:t xml:space="preserve">: HasCreationModificationDates – Attribute</w:t>
      </w:r>
    </w:p>
    <w:bookmarkEnd w:id="331"/>
    <w:bookmarkStart w:id="332" w:name="mixin-verwendung-3"/>
    <w:p>
      <w:pPr>
        <w:pStyle w:val="berschrift3"/>
      </w:pPr>
      <w:r>
        <w:t xml:space="preserve">Mixin-Verwendung</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32"/>
    <w:p>
      <w:r>
        <w:br w:type="page"/>
      </w:r>
    </w:p>
    <w:bookmarkEnd w:id="333"/>
    <w:bookmarkEnd w:id="334"/>
    <w:bookmarkStart w:id="335" w:name="sicherheitsüberlegungen"/>
    <w:p>
      <w:pPr>
        <w:pStyle w:val="berschrift1"/>
      </w:pPr>
      <w:r>
        <w:t xml:space="preserve">Sicherheitsüberlegungen</w:t>
      </w:r>
    </w:p>
    <w:p>
      <w:pPr>
        <w:pStyle w:val="FirstParagraph"/>
      </w:pPr>
      <w:r>
        <w:t xml:space="preserve">Grundsätzlich Datenschutz: Liegt in Verantwortung der publizierenden stellen, welche sich hinsichtlich Veröffentlichung bereits Vorstellung und Vorkehrungen haben (z.B. Flag oder interne Sichtbarkeit).</w:t>
      </w:r>
    </w:p>
    <w:p>
      <w:r>
        <w:br w:type="page"/>
      </w:r>
    </w:p>
    <w:bookmarkEnd w:id="335"/>
    <w:bookmarkStart w:id="336" w:name="X7a7cd44f7636750088658f6a550ed57dcb8441f"/>
    <w:p>
      <w:pPr>
        <w:pStyle w:val="berschrift1"/>
      </w:pPr>
      <w:r>
        <w:t xml:space="preserve">Haftungsausschluss/Hinweise auf Rechte Dritter</w:t>
      </w:r>
    </w:p>
    <w:p>
      <w:pPr>
        <w:pStyle w:val="FirstParagraph"/>
      </w:pPr>
      <w:r>
        <w:t xml:space="preserve">eCH-Standards, welche der Verein eCH den Benutzenden zur unentgeltlichen Nutzung zur Verfügung stellen oder welche eCH referenzieren, haben nur den Status von Empfehlungen. Der Verein eCH haftet in keinem Fall für Entscheidungen oder Massnahmen, welche den Benutzenden auf Grund dieser Dokumente trifft und / oder ergreift. Die Benutzenden sind verpflichtet, die Dokumente vor deren Nutzung selbst zu überprüfen und sich gegebenenfalls beraten zu lassen. eCH-Standards können und sollen die technische, organisatorische oder juristische Beratung im konkreten Einzelfall nicht ersetzen.</w:t>
      </w:r>
    </w:p>
    <w:p>
      <w:pPr>
        <w:pStyle w:val="Textkrper"/>
      </w:pPr>
      <w:r>
        <w:t xml:space="preserve">In eCH-Standards referenzierte Dokumente, Verfahren, Methoden, Produkte und Standards sind unter Umständen markenrechtlich, urheberrechtlich oder patentrechtlich geschützt. Es liegt in der ausschliesslichen Verantwortlichkeit der Benutzenden, sich die allenfalls erforderlichen Rechte bei den jeweils berechtigten Personen und/oder Organisationen zu beschaffen.</w:t>
      </w:r>
    </w:p>
    <w:p>
      <w:pPr>
        <w:pStyle w:val="Textkrper"/>
      </w:pPr>
      <w:r>
        <w:t xml:space="preserve">Obwohl der Verein eCH all seine Sorgfalt darauf verwendet, die eCH-Standards sorgfältig auszuarbeiten, kann keine Zusicherung oder Garantie auf Aktualität, Vollständigkeit, Richtigkeit bzw. Fehlerfreiheit der zur Verfügung gestellten Informationen und Dokumente gegeben werden. Der Inhalt von eCH-Standards kann jederzeit und ohne Ankündigung geändert werden.</w:t>
      </w:r>
    </w:p>
    <w:p>
      <w:pPr>
        <w:pStyle w:val="Textkrper"/>
      </w:pPr>
      <w:r>
        <w:t xml:space="preserve">Jede Haftung für Schäden, welche den Benutzenden aus dem Gebrauch der eCH-Standards entstehen, ist, soweit gesetzlich zulässig, wegbedungen.</w:t>
      </w:r>
    </w:p>
    <w:p>
      <w:r>
        <w:br w:type="page"/>
      </w:r>
    </w:p>
    <w:bookmarkEnd w:id="336"/>
    <w:bookmarkStart w:id="357" w:name="urheberrechte"/>
    <w:p>
      <w:pPr>
        <w:pStyle w:val="berschrift1"/>
      </w:pPr>
      <w:r>
        <w:t xml:space="preserve">Urheberrechte</w:t>
      </w:r>
    </w:p>
    <w:p>
      <w:pPr>
        <w:pStyle w:val="FirstParagraph"/>
      </w:pPr>
      <w:r>
        <w:t xml:space="preserve">Wer eCH-Standards erarbeitet, behält das geistige Eigentum an diesen. Allerdings verpflichten sich die Erarbeitenden, ihr betreffendes geistiges Eigentum oder ihre Rechte an geistigem Eigentum anderer, sofern möglich, den jeweiligen Fachgruppen und dem Verein eCH kostenlos zur uneingeschränkten Nutzung und Weiterentwicklung im Rahmen des Vereinszweckes zur Verfügung zu stellen.</w:t>
      </w:r>
    </w:p>
    <w:p>
      <w:pPr>
        <w:pStyle w:val="Textkrper"/>
      </w:pPr>
      <w:r>
        <w:t xml:space="preserve">Die von den Fachgruppen erarbeiteten Standards können unter Nennung der jeweiligen urhebenden Person von eCH unentgeltlich und uneingeschränkt genutzt, weiterverbreitet und weiterentwickelt werden.</w:t>
      </w:r>
    </w:p>
    <w:p>
      <w:pPr>
        <w:pStyle w:val="Textkrper"/>
      </w:pPr>
      <w:r>
        <w:t xml:space="preserve">eCH-Standards sind vollständig dokumentiert und frei von lizenz- und/oder patentrechtlichen Einschränkungen. Die dazugehörige Dokumentation kann unentgeltlich bezogen werden.</w:t>
      </w:r>
    </w:p>
    <w:p>
      <w:pPr>
        <w:pStyle w:val="Textkrper"/>
      </w:pPr>
      <w:r>
        <w:t xml:space="preserve">Diese Bestimmungen gelten ausschliesslich für die von eCH erarbeiteten Standards, nicht jedoch für Standards oder Produkte Dritter, auf welche in den eCH-Standards Bezug genommen wird. Die Standards enthalten die entsprechenden Hinweise auf die Rechte Dritter.</w:t>
      </w:r>
    </w:p>
    <w:p>
      <w:r>
        <w:br w:type="page"/>
      </w:r>
    </w:p>
    <w:bookmarkStart w:id="337" w:name="anhang-a-referenzen-bibliographie"/>
    <w:p>
      <w:pPr>
        <w:pStyle w:val="Anhangberschrift"/>
      </w:pPr>
      <w:r>
        <w:t xml:space="preserve">Anhang A – Referenzen &amp; Bibliographie</w:t>
      </w:r>
    </w:p>
    <w:bookmarkEnd w:id="337"/>
    <w:p>
      <w:pPr>
        <w:pStyle w:val="Textkrper"/>
      </w:pPr>
      <w:r>
        <w:t xml:space="preserve">Wo eine Version genannt ist, ist es diejenige, gegen die dieser Standard erarbeitet wurde.</w:t>
      </w:r>
    </w:p>
    <w:bookmarkStart w:id="338" w:name="Xdbf62244f6b4f9f16288a703ef5341868a945ae"/>
    <w:p>
      <w:pPr>
        <w:pStyle w:val="Anhangberschrift2"/>
      </w:pPr>
      <w:r>
        <w:t xml:space="preserve">Standards der Fachgruppe „Politische Geschäfte”</w:t>
      </w:r>
    </w:p>
    <w:bookmarkEnd w:id="338"/>
    <w:p>
      <w:pPr>
        <w:pStyle w:val="Textkrper"/>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w:t>
            </w:r>
            <w:r>
              <w:t xml:space="preserve"> </w:t>
            </w:r>
            <w:hyperlink ns1:id="rId33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w:t>
            </w:r>
            <w:r>
              <w:t xml:space="preserve"> </w:t>
            </w:r>
            <w:hyperlink ns1:id="rId340">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w:t>
            </w:r>
            <w:r>
              <w:t xml:space="preserve"> </w:t>
            </w:r>
            <w:hyperlink ns1:id="rId34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342">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343">
              <w:r>
                <w:rPr>
                  <w:rStyle w:val="Hyperlink"/>
                </w:rPr>
                <w:t xml:space="preserve">https://www.ech.ch/de/ech/ech-0297</w:t>
              </w:r>
            </w:hyperlink>
          </w:p>
        </w:tc>
      </w:tr>
    </w:tbl>
    <w:bookmarkStart w:id="344" w:name="weitere-ech-standards"/>
    <w:p>
      <w:pPr>
        <w:pStyle w:val="Anhangberschrift2"/>
      </w:pPr>
      <w:r>
        <w:t xml:space="preserve">Weitere eCH-Standards</w:t>
      </w:r>
    </w:p>
    <w:bookmarkEnd w:id="344"/>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31">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345">
              <w:r>
                <w:rPr>
                  <w:rStyle w:val="Hyperlink"/>
                </w:rPr>
                <w:t xml:space="preserve">https://www.ech.ch/de/ech/ech-0108/6.0.0</w:t>
              </w:r>
            </w:hyperlink>
          </w:p>
        </w:tc>
      </w:tr>
    </w:tbl>
    <w:bookmarkStart w:id="346" w:name="codelisten-und-weitere-quellen"/>
    <w:p>
      <w:pPr>
        <w:pStyle w:val="Anhangberschrift2"/>
      </w:pPr>
      <w:r>
        <w:t xml:space="preserve">Codelisten und weitere Quellen</w:t>
      </w:r>
    </w:p>
    <w:bookmarkEnd w:id="346"/>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34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348">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4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50">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51">
              <w:r>
                <w:rPr>
                  <w:rStyle w:val="Hyperlink"/>
                </w:rPr>
                <w:t xml:space="preserve">https://linkml.io</w:t>
              </w:r>
            </w:hyperlink>
          </w:p>
        </w:tc>
      </w:tr>
    </w:tbl>
    <w:p>
      <w:r>
        <w:br w:type="page"/>
      </w:r>
    </w:p>
    <w:bookmarkStart w:id="352" w:name="anhang-b-mitarbeit-überprüfung"/>
    <w:p>
      <w:pPr>
        <w:pStyle w:val="Anhangberschrift"/>
      </w:pPr>
      <w:r>
        <w:t xml:space="preserve">Anhang B – Mitarbeit &amp; Überprüfung</w:t>
      </w:r>
    </w:p>
    <w:bookmarkEnd w:id="352"/>
    <w:p>
      <w:pPr>
        <w:pStyle w:val="Textkrper"/>
      </w:pPr>
      <w:r>
        <w:t xml:space="preserve">Fachgruppe Politische Geschäfte, Subgruppe Politische Akteure:</w:t>
      </w:r>
    </w:p>
    <w:tbl>
      <w:tblPr>
        <w:tblStyle w:val="Table"/>
        <w:tblW w:type="auto" w:w="0"/>
        <w:tblLook w:firstRow="0" w:lastRow="0" w:firstColumn="0" w:lastColumn="0" w:noHBand="0" w:noVBand="0" w:val="0000"/>
      </w:tblPr>
      <w:tblGrid>
        <w:gridCol w:w="3960"/>
        <w:gridCol w:w="3960"/>
      </w:tblGrid>
      <w:tr>
        <w:tc>
          <w:tcPr/>
          <w:p>
            <w:pPr>
              <w:pStyle w:val="Compact"/>
            </w:pPr>
            <w:r>
              <w:t xml:space="preserve">Julie Silberstein</w:t>
            </w:r>
          </w:p>
        </w:tc>
        <w:tc>
          <w:tcPr/>
          <w:p>
            <w:pPr>
              <w:pStyle w:val="Compact"/>
            </w:pPr>
            <w:r>
              <w:t xml:space="preserve">Bundesamt für Statistik</w:t>
            </w:r>
          </w:p>
        </w:tc>
      </w:tr>
      <w:tr>
        <w:tc>
          <w:tcPr>
            <w:shd w:val="clear" w:color="auto" w:fill="F2F2F2"/>
          </w:tcPr>
          <w:p>
            <w:pPr>
              <w:pStyle w:val="Compact"/>
            </w:pPr>
            <w:r>
              <w:t xml:space="preserve">Laurence Brandenberger</w:t>
            </w:r>
          </w:p>
        </w:tc>
        <w:tc>
          <w:tcPr>
            <w:shd w:val="clear" w:color="auto" w:fill="F2F2F2"/>
          </w:tcPr>
          <w:p>
            <w:pPr>
              <w:pStyle w:val="Compact"/>
            </w:pPr>
            <w:r>
              <w:t xml:space="preserve">Universität Zürich, IPZ</w:t>
            </w:r>
          </w:p>
        </w:tc>
      </w:tr>
      <w:tr>
        <w:tc>
          <w:tcPr/>
          <w:p>
            <w:pPr>
              <w:pStyle w:val="Compact"/>
            </w:pPr>
            <w:r>
              <w:t xml:space="preserve">Daniela Koller</w:t>
            </w:r>
          </w:p>
        </w:tc>
        <w:tc>
          <w:tcPr/>
          <w:p>
            <w:pPr>
              <w:pStyle w:val="Compact"/>
            </w:pPr>
            <w:r>
              <w:t xml:space="preserve">Kanton Thurgau</w:t>
            </w:r>
          </w:p>
        </w:tc>
      </w:tr>
      <w:tr>
        <w:tc>
          <w:tcPr>
            <w:shd w:val="clear" w:color="auto" w:fill="F2F2F2"/>
          </w:tcPr>
          <w:p>
            <w:pPr>
              <w:pStyle w:val="Compact"/>
            </w:pPr>
            <w:r>
              <w:t xml:space="preserve">Thomas Roth</w:t>
            </w:r>
          </w:p>
        </w:tc>
        <w:tc>
          <w:tcPr>
            <w:shd w:val="clear" w:color="auto" w:fill="F2F2F2"/>
          </w:tcPr>
          <w:p>
            <w:pPr>
              <w:pStyle w:val="Compact"/>
            </w:pPr>
          </w:p>
        </w:tc>
      </w:tr>
      <w:tr>
        <w:tc>
          <w:tcPr/>
          <w:p>
            <w:pPr>
              <w:pStyle w:val="Compact"/>
            </w:pPr>
            <w:r>
              <w:t xml:space="preserve">Stefan Oderbolz</w:t>
            </w:r>
          </w:p>
        </w:tc>
        <w:tc>
          <w:tcPr/>
          <w:p>
            <w:pPr>
              <w:pStyle w:val="Compact"/>
            </w:pPr>
            <w:r>
              <w:t xml:space="preserve">EBP</w:t>
            </w:r>
          </w:p>
        </w:tc>
      </w:tr>
      <w:tr>
        <w:tc>
          <w:tcPr>
            <w:shd w:val="clear" w:color="auto" w:fill="F2F2F2"/>
          </w:tcPr>
          <w:p>
            <w:pPr>
              <w:pStyle w:val="Compact"/>
            </w:pPr>
            <w:r>
              <w:t xml:space="preserve">Fabian Davolio</w:t>
            </w:r>
          </w:p>
        </w:tc>
        <w:tc>
          <w:tcPr>
            <w:shd w:val="clear" w:color="auto" w:fill="F2F2F2"/>
          </w:tcPr>
          <w:p>
            <w:pPr>
              <w:pStyle w:val="Compact"/>
            </w:pPr>
            <w:r>
              <w:t xml:space="preserve">Parlamentsdienste</w:t>
            </w:r>
          </w:p>
        </w:tc>
      </w:tr>
      <w:tr>
        <w:tc>
          <w:tcPr/>
          <w:p>
            <w:pPr>
              <w:pStyle w:val="Compact"/>
            </w:pPr>
            <w:r>
              <w:t xml:space="preserve">Orhan Saeedi</w:t>
            </w:r>
          </w:p>
        </w:tc>
        <w:tc>
          <w:tcPr/>
          <w:p>
            <w:pPr>
              <w:pStyle w:val="Compact"/>
            </w:pPr>
            <w:r>
              <w:t xml:space="preserve">Kanton Basel-Stadt</w:t>
            </w:r>
          </w:p>
        </w:tc>
      </w:tr>
      <w:tr>
        <w:tc>
          <w:tcPr>
            <w:shd w:val="clear" w:color="auto" w:fill="F2F2F2"/>
          </w:tcPr>
          <w:p>
            <w:pPr>
              <w:pStyle w:val="Compact"/>
            </w:pPr>
            <w:r>
              <w:t xml:space="preserve">Christian Gutknecht</w:t>
            </w:r>
          </w:p>
        </w:tc>
        <w:tc>
          <w:tcPr>
            <w:shd w:val="clear" w:color="auto" w:fill="F2F2F2"/>
          </w:tcPr>
          <w:p>
            <w:pPr>
              <w:pStyle w:val="Compact"/>
            </w:pPr>
            <w:r>
              <w:t xml:space="preserve">Glue AG</w:t>
            </w:r>
          </w:p>
        </w:tc>
      </w:tr>
      <w:tr>
        <w:tc>
          <w:tcPr/>
          <w:p>
            <w:pPr>
              <w:pStyle w:val="Compact"/>
            </w:pPr>
            <w:r>
              <w:t xml:space="preserve">Michael Luggen</w:t>
            </w:r>
          </w:p>
        </w:tc>
        <w:tc>
          <w:tcPr/>
          <w:p>
            <w:pPr>
              <w:pStyle w:val="Compact"/>
            </w:pPr>
            <w:r>
              <w:t xml:space="preserve">Bundeskanzlei</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Datum</w:t>
            </w:r>
          </w:p>
        </w:tc>
        <w:tc>
          <w:tcPr/>
          <w:p>
            <w:pPr>
              <w:pStyle w:val="Compact"/>
            </w:pPr>
            <w:r>
              <w:t xml:space="preserve">Ersteller</w:t>
            </w:r>
          </w:p>
        </w:tc>
        <w:tc>
          <w:tcPr/>
          <w:p>
            <w:pPr>
              <w:pStyle w:val="Compact"/>
            </w:pPr>
            <w:r>
              <w:t xml:space="preserve">Bemerkung</w:t>
            </w:r>
          </w:p>
        </w:tc>
      </w:tr>
      <w:tr>
        <w:tc>
          <w:tcPr>
            <w:shd w:val="clear" w:color="auto" w:fill="F2F2F2"/>
          </w:tcPr>
          <w:p>
            <w:pPr>
              <w:pStyle w:val="Compact"/>
            </w:pPr>
            <w:r>
              <w:t xml:space="preserve">1.0.0</w:t>
            </w:r>
          </w:p>
        </w:tc>
        <w:tc>
          <w:tcPr>
            <w:shd w:val="clear" w:color="auto" w:fill="F2F2F2"/>
          </w:tcPr>
          <w:p>
            <w:pPr>
              <w:pStyle w:val="Compact"/>
            </w:pPr>
            <w:r>
              <w:t xml:space="preserve">2026-08-10</w:t>
            </w:r>
          </w:p>
        </w:tc>
        <w:tc>
          <w:tcPr>
            <w:shd w:val="clear" w:color="auto" w:fill="F2F2F2"/>
          </w:tcPr>
          <w:p>
            <w:pPr>
              <w:pStyle w:val="Compact"/>
            </w:pPr>
            <w:r>
              <w:t xml:space="preserve">Fachgruppe Politische Geschäfte</w:t>
            </w:r>
          </w:p>
        </w:tc>
        <w:tc>
          <w:tcPr>
            <w:shd w:val="clear" w:color="auto" w:fill="F2F2F2"/>
          </w:tcPr>
          <w:p>
            <w:pPr>
              <w:pStyle w:val="Compact"/>
            </w:pPr>
            <w:r>
              <w:t xml:space="preserve">Einreichung als Vorschlag</w:t>
            </w:r>
          </w:p>
        </w:tc>
      </w:tr>
    </w:tbl>
    <w:bookmarkStart w:id="353" w:name="anhang-c-abkürzungen-und-glossar"/>
    <w:p>
      <w:pPr>
        <w:pStyle w:val="Anhangberschrift"/>
      </w:pPr>
      <w:r>
        <w:t xml:space="preserve">Anhang C – Abkürzungen und Glossar</w:t>
      </w:r>
    </w:p>
    <w:bookmarkEnd w:id="353"/>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DSG</w:t>
            </w:r>
          </w:p>
        </w:tc>
        <w:tc>
          <w:tcPr/>
          <w:p>
            <w:pPr>
              <w:pStyle w:val="Compact"/>
            </w:pPr>
            <w:r>
              <w:t xml:space="preserve">Bundesgesetz über den Datenschutz, in Kraft seit 1. September 2023.</w:t>
            </w:r>
          </w:p>
        </w:tc>
      </w:tr>
      <w:tr>
        <w:tc>
          <w:tcPr>
            <w:shd w:val="clear" w:color="auto" w:fill="F2F2F2"/>
          </w:tcPr>
          <w:p>
            <w:pPr>
              <w:pStyle w:val="Compact"/>
            </w:pPr>
            <w:r>
              <w:t xml:space="preserve">I14Y</w:t>
            </w:r>
          </w:p>
        </w:tc>
        <w:tc>
          <w:tcPr>
            <w:shd w:val="clear" w:color="auto" w:fill="F2F2F2"/>
          </w:tcPr>
          <w:p>
            <w:pPr>
              <w:pStyle w:val="Compact"/>
            </w:pPr>
            <w:r>
              <w:t xml:space="preserve">Interoperabilitätsplattform des Bundesamts für Statistik; Bezugsquelle mehrerer Codelisten.</w:t>
            </w:r>
          </w:p>
        </w:tc>
      </w:tr>
      <w:tr>
        <w:tc>
          <w:tcPr/>
          <w:p>
            <w:pPr>
              <w:pStyle w:val="Compact"/>
            </w:pPr>
            <w:r>
              <w:t xml:space="preserve">IRI</w:t>
            </w:r>
          </w:p>
        </w:tc>
        <w:tc>
          <w:tcPr/>
          <w:p>
            <w:pPr>
              <w:pStyle w:val="Compact"/>
            </w:pPr>
            <w:r>
              <w:t xml:space="preserve">Internationalized Resource Identifier. Erweiterung der URI auf den vollen Unicode-Zeichenvorrat.</w:t>
            </w:r>
          </w:p>
        </w:tc>
      </w:tr>
      <w:tr>
        <w:tc>
          <w:tcPr>
            <w:shd w:val="clear" w:color="auto" w:fill="F2F2F2"/>
          </w:tcPr>
          <w:p>
            <w:pPr>
              <w:pStyle w:val="Compact"/>
            </w:pPr>
            <w:r>
              <w:t xml:space="preserve">JSON-LD</w:t>
            </w:r>
          </w:p>
        </w:tc>
        <w:tc>
          <w:tcPr>
            <w:shd w:val="clear" w:color="auto" w:fill="F2F2F2"/>
          </w:tcPr>
          <w:p>
            <w:pPr>
              <w:pStyle w:val="Compact"/>
            </w:pPr>
            <w:r>
              <w:t xml:space="preserve">JSON for Linking Data. Serialisierung von verknüpften Daten in JSON.</w:t>
            </w:r>
          </w:p>
        </w:tc>
      </w:tr>
      <w:tr>
        <w:tc>
          <w:tcPr/>
          <w:p>
            <w:pPr>
              <w:pStyle w:val="Compact"/>
            </w:pPr>
            <w:r>
              <w:t xml:space="preserve">LINDAS</w:t>
            </w:r>
          </w:p>
        </w:tc>
        <w:tc>
          <w:tcPr/>
          <w:p>
            <w:pPr>
              <w:pStyle w:val="Compact"/>
            </w:pPr>
            <w:r>
              <w:t xml:space="preserve">Linked Data Service der Schweizerischen Bundesverwaltung.</w:t>
            </w:r>
          </w:p>
        </w:tc>
      </w:tr>
      <w:tr>
        <w:tc>
          <w:tcPr>
            <w:shd w:val="clear" w:color="auto" w:fill="F2F2F2"/>
          </w:tcPr>
          <w:p>
            <w:pPr>
              <w:pStyle w:val="Compact"/>
            </w:pPr>
            <w:r>
              <w:t xml:space="preserve">LinkML</w:t>
            </w:r>
          </w:p>
        </w:tc>
        <w:tc>
          <w:tcPr>
            <w:shd w:val="clear" w:color="auto" w:fill="F2F2F2"/>
          </w:tcPr>
          <w:p>
            <w:pPr>
              <w:pStyle w:val="Compact"/>
            </w:pPr>
            <w:r>
              <w:t xml:space="preserve">Linked Data Modeling Language. Modellierungssprache, in der dieser Standard definiert ist.</w:t>
            </w:r>
          </w:p>
        </w:tc>
      </w:tr>
      <w:tr>
        <w:tc>
          <w:tcPr/>
          <w:p>
            <w:pPr>
              <w:pStyle w:val="Compact"/>
            </w:pPr>
            <w:r>
              <w:t xml:space="preserve">NOGA</w:t>
            </w:r>
          </w:p>
        </w:tc>
        <w:tc>
          <w:tcPr/>
          <w:p>
            <w:pPr>
              <w:pStyle w:val="Compact"/>
            </w:pPr>
            <w:r>
              <w:t xml:space="preserve">Allgemeine Systematik der Wirtschaftszweige des Bundesamts für Statistik.</w:t>
            </w:r>
          </w:p>
        </w:tc>
      </w:tr>
      <w:tr>
        <w:tc>
          <w:tcPr>
            <w:shd w:val="clear" w:color="auto" w:fill="F2F2F2"/>
          </w:tcPr>
          <w:p>
            <w:pPr>
              <w:pStyle w:val="Compact"/>
            </w:pPr>
            <w:r>
              <w:t xml:space="preserve">RDF</w:t>
            </w:r>
          </w:p>
        </w:tc>
        <w:tc>
          <w:tcPr>
            <w:shd w:val="clear" w:color="auto" w:fill="F2F2F2"/>
          </w:tcPr>
          <w:p>
            <w:pPr>
              <w:pStyle w:val="Compact"/>
            </w:pPr>
            <w:r>
              <w:t xml:space="preserve">Resource Description Framework. Datenmodell für verknüpfte Daten; hier als Turtle (.ttl) ausgeliefert.</w:t>
            </w:r>
          </w:p>
        </w:tc>
      </w:tr>
      <w:tr>
        <w:tc>
          <w:tcPr/>
          <w:p>
            <w:pPr>
              <w:pStyle w:val="Compact"/>
            </w:pPr>
            <w:r>
              <w:t xml:space="preserve">UID</w:t>
            </w:r>
          </w:p>
        </w:tc>
        <w:tc>
          <w:tcPr/>
          <w:p>
            <w:pPr>
              <w:pStyle w:val="Compact"/>
            </w:pPr>
            <w:r>
              <w:t xml:space="preserve">Unternehmens-Identifikationsnummer. Eindeutiger Schlüssel eines Schweizer Unternehmens gemäss Bundesamt für Statistik.</w:t>
            </w:r>
          </w:p>
        </w:tc>
      </w:tr>
      <w:tr>
        <w:tc>
          <w:tcPr>
            <w:shd w:val="clear" w:color="auto" w:fill="F2F2F2"/>
          </w:tcPr>
          <w:p>
            <w:pPr>
              <w:pStyle w:val="Compact"/>
            </w:pPr>
            <w:r>
              <w:t xml:space="preserve">URI</w:t>
            </w:r>
          </w:p>
        </w:tc>
        <w:tc>
          <w:tcPr>
            <w:shd w:val="clear" w:color="auto" w:fill="F2F2F2"/>
          </w:tcPr>
          <w:p>
            <w:pPr>
              <w:pStyle w:val="Compact"/>
            </w:pPr>
            <w:r>
              <w:t xml:space="preserve">Uniform Resource Identifier. Eindeutiger Bezeichner einer Ressource.</w:t>
            </w:r>
          </w:p>
        </w:tc>
      </w:tr>
      <w:tr>
        <w:tc>
          <w:tcPr/>
          <w:p>
            <w:pPr>
              <w:pStyle w:val="Compact"/>
            </w:pPr>
            <w:r>
              <w:t xml:space="preserve">XSD</w:t>
            </w:r>
          </w:p>
        </w:tc>
        <w:tc>
          <w:tcPr/>
          <w:p>
            <w:pPr>
              <w:pStyle w:val="Compact"/>
            </w:pPr>
            <w:r>
              <w:t xml:space="preserve">XML Schema Definition. Empfehlung des W3C zum Definieren von Strukturen für XML-Dokumente.</w:t>
            </w:r>
          </w:p>
        </w:tc>
      </w:tr>
    </w:tbl>
    <w:bookmarkStart w:id="354" w:name="anhang-d-änderungen-gegenüber-vorversion"/>
    <w:p>
      <w:pPr>
        <w:pStyle w:val="Anhangberschrift"/>
      </w:pPr>
      <w:r>
        <w:t xml:space="preserve">Anhang D – Änderungen gegenüber Vorversion</w:t>
      </w:r>
    </w:p>
    <w:bookmarkEnd w:id="354"/>
    <w:p>
      <w:pPr>
        <w:pStyle w:val="Textkrper"/>
      </w:pPr>
      <w:r>
        <w:t xml:space="preserve">Dies ist die erste Version.</w:t>
      </w:r>
    </w:p>
    <w:p>
      <w:r>
        <w:br w:type="page"/>
      </w:r>
    </w:p>
    <w:bookmarkStart w:id="355" w:name="anhang-e-abbildungsverzeichnis"/>
    <w:p>
      <w:pPr>
        <w:pStyle w:val="Anhangberschrift"/>
      </w:pPr>
      <w:r>
        <w:t xml:space="preserve">Anhang E – Abbildungsverzeichnis</w:t>
      </w:r>
    </w:p>
    <w:bookmarkEnd w:id="355"/>
    <w:p>
      <w:pPr>
        <w:pStyle w:val="Textkrper"/>
      </w:pPr>
      <w:r>
        <w:t xml:space="preserve">Keine</w:t>
      </w:r>
    </w:p>
    <w:bookmarkStart w:id="356" w:name="anhang-f-tabellenverzeichnis"/>
    <w:p>
      <w:pPr>
        <w:pStyle w:val="Anhangberschrift"/>
      </w:pPr>
      <w:r>
        <w:t xml:space="preserve">Anhang F – Tabellenverzeichnis</w:t>
      </w:r>
    </w:p>
    <w:bookmarkEnd w:id="356"/>
    <w:p>
      <w:r>
        <w:fldChar w:fldCharType="begin" w:dirty="true"/>
      </w:r>
      <w:r>
        <w:instrText xml:space="preserve"> TOC \h \z \c "Tabelle" </w:instrText>
      </w:r>
      <w:r>
        <w:fldChar w:fldCharType="separate"/>
      </w:r>
      <w:r>
        <w:t>Rechtsklick &gt; „Felder aktualisieren“, um das Tabellenverzeichnis zu erzeugen.</w:t>
      </w:r>
      <w:r>
        <w:fldChar w:fldCharType="end"/>
      </w:r>
    </w:p>
    <w:bookmarkEnd w:id="35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customStyle="1" w:styleId="Nebentitel" w:type="paragraph">
    <w:name w:val="Nebentitel"/>
    <w:basedOn w:val="berschrift1"/>
    <w:next w:val="Textkrper"/>
    <w:qFormat/>
    <w:pPr>
      <w:numPr>
        <w:ilvl w:val="0"/>
        <w:numId w:val="0"/>
      </w:numPr>
      <w:outlineLvl w:val="9"/>
    </w:pPr>
  </w:style>
  <w:style w:customStyle="1" w:styleId="Anhangberschrift" w:type="paragraph">
    <w:name w:val="Anhang Überschrift"/>
    <w:basedOn w:val="berschrift1"/>
    <w:next w:val="Textkrper"/>
    <w:qFormat/>
    <w:pPr>
      <w:numPr>
        <w:ilvl w:val="0"/>
        <w:numId w:val="0"/>
      </w:numPr>
    </w:pPr>
  </w:style>
  <w:style w:customStyle="1" w:styleId="Anhangberschrift2" w:type="paragraph">
    <w:name w:val="Anhang Überschrift 2"/>
    <w:basedOn w:val="berschrift2"/>
    <w:next w:val="Textkrper"/>
    <w:qFormat/>
    <w:pPr>
      <w:numPr>
        <w:ilvl w:val="0"/>
        <w:numId w:val="0"/>
      </w:numPr>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1"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0" Target="https://schema.org" TargetMode="External" /><Relationship Type="http://schemas.openxmlformats.org/officeDocument/2006/relationships/hyperlink" Id="rId30" Target="https://www.bfs.admin.ch/bfs/de/home/register/personenregister/registerharmonisierung/nomenklaturen.assetdetail.24565576.html" TargetMode="External" /><Relationship Type="http://schemas.openxmlformats.org/officeDocument/2006/relationships/hyperlink" Id="rId31" Target="https://www.ech.ch/de/ech/ech-0011/9.0.0" TargetMode="External" /><Relationship Type="http://schemas.openxmlformats.org/officeDocument/2006/relationships/hyperlink" Id="rId345" Target="https://www.ech.ch/de/ech/ech-0108/6.0.0" TargetMode="External" /><Relationship Type="http://schemas.openxmlformats.org/officeDocument/2006/relationships/hyperlink" Id="rId339" Target="https://www.ech.ch/de/ech/ech-0292" TargetMode="External" /><Relationship Type="http://schemas.openxmlformats.org/officeDocument/2006/relationships/hyperlink" Id="rId340" Target="https://www.ech.ch/de/ech/ech-0293" TargetMode="External" /><Relationship Type="http://schemas.openxmlformats.org/officeDocument/2006/relationships/hyperlink" Id="rId341" Target="https://www.ech.ch/de/ech/ech-0295" TargetMode="External" /><Relationship Type="http://schemas.openxmlformats.org/officeDocument/2006/relationships/hyperlink" Id="rId342" Target="https://www.ech.ch/de/ech/ech-0296" TargetMode="External" /><Relationship Type="http://schemas.openxmlformats.org/officeDocument/2006/relationships/hyperlink" Id="rId343" Target="https://www.ech.ch/de/ech/ech-0297" TargetMode="External" /><Relationship Type="http://schemas.openxmlformats.org/officeDocument/2006/relationships/hyperlink" Id="rId347"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299" Target="https://www.swisstopo.admin.ch/de/amtliches-verzeichnis-der-gebaeudeadressen" TargetMode="External" /><Relationship Type="http://schemas.openxmlformats.org/officeDocument/2006/relationships/hyperlink" Id="rId34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1"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0" Target="https://schema.org" TargetMode="External" /><Relationship Type="http://schemas.openxmlformats.org/officeDocument/2006/relationships/hyperlink" Id="rId30" Target="https://www.bfs.admin.ch/bfs/de/home/register/personenregister/registerharmonisierung/nomenklaturen.assetdetail.24565576.html" TargetMode="External" /><Relationship Type="http://schemas.openxmlformats.org/officeDocument/2006/relationships/hyperlink" Id="rId31" Target="https://www.ech.ch/de/ech/ech-0011/9.0.0" TargetMode="External" /><Relationship Type="http://schemas.openxmlformats.org/officeDocument/2006/relationships/hyperlink" Id="rId345" Target="https://www.ech.ch/de/ech/ech-0108/6.0.0" TargetMode="External" /><Relationship Type="http://schemas.openxmlformats.org/officeDocument/2006/relationships/hyperlink" Id="rId339" Target="https://www.ech.ch/de/ech/ech-0292" TargetMode="External" /><Relationship Type="http://schemas.openxmlformats.org/officeDocument/2006/relationships/hyperlink" Id="rId340" Target="https://www.ech.ch/de/ech/ech-0293" TargetMode="External" /><Relationship Type="http://schemas.openxmlformats.org/officeDocument/2006/relationships/hyperlink" Id="rId341" Target="https://www.ech.ch/de/ech/ech-0295" TargetMode="External" /><Relationship Type="http://schemas.openxmlformats.org/officeDocument/2006/relationships/hyperlink" Id="rId342" Target="https://www.ech.ch/de/ech/ech-0296" TargetMode="External" /><Relationship Type="http://schemas.openxmlformats.org/officeDocument/2006/relationships/hyperlink" Id="rId343" Target="https://www.ech.ch/de/ech/ech-0297" TargetMode="External" /><Relationship Type="http://schemas.openxmlformats.org/officeDocument/2006/relationships/hyperlink" Id="rId347"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299" Target="https://www.swisstopo.admin.ch/de/amtliches-verzeichnis-der-gebaeudeadressen" TargetMode="External" /><Relationship Type="http://schemas.openxmlformats.org/officeDocument/2006/relationships/hyperlink" Id="rId34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2026-09-23T11:52:44Z</dcterms:created>
  <dcterms:modified xsi:type="dcterms:W3CDTF">2026-09-23T11:52:44Z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