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Groupe spécialisé</w:t>
            </w:r>
          </w:p>
        </w:tc>
        <w:tc>
          <w:tcPr/>
          <w:p>
            <w:pPr>
              <w:pStyle w:val="Compact"/>
            </w:pPr>
            <w:r>
              <w:t xml:space="preserve">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résumé"/>
    <w:p>
      <w:pPr>
        <w:pStyle w:val="Nebentitel"/>
      </w:pPr>
      <w:r>
        <w:t xml:space="preserve">Résumé</w:t>
      </w:r>
    </w:p>
    <w:bookmarkEnd w:id="21"/>
    <w:p>
      <w:pPr>
        <w:pStyle w:val="Textkrper"/>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Start w:id="22" w:name="table-des-matières"/>
    <w:p>
      <w:pPr>
        <w:pStyle w:val="Nebentitel"/>
      </w:pPr>
      <w:r>
        <w:t xml:space="preserve">Table des matières</w:t>
      </w:r>
    </w:p>
    <w:bookmarkEnd w:id="22"/>
    <w:p>
      <w:r>
        <w:fldChar w:fldCharType="begin" w:dirty="true"/>
      </w:r>
      <w:r>
        <w:instrText xml:space="preserve"> TOC \o "1-2" \h \z \u </w:instrText>
      </w:r>
      <w:r>
        <w:fldChar w:fldCharType="separate"/>
      </w:r>
      <w:r>
        <w:t>Clic droit &gt; « Mettre à jour les champs » pour générer la table des matières.</w:t>
      </w:r>
      <w:r>
        <w:fldChar w:fldCharType="end"/>
      </w:r>
    </w:p>
    <w:bookmarkStart w:id="23" w:name="remarque"/>
    <w:p>
      <w:pPr>
        <w:pStyle w:val="Nebentitel"/>
      </w:pPr>
      <w:r>
        <w:t xml:space="preserve">Remarque</w:t>
      </w:r>
    </w:p>
    <w:bookmarkEnd w:id="23"/>
    <w:p>
      <w:pPr>
        <w:pStyle w:val="Textkrper"/>
      </w:pPr>
      <w:r>
        <w:t xml:space="preserve">La formulation employée dans le présent document pour désigner les personnes est neutre en termes de genre. Elle repose sur le guide de la Chancellerie fédérale. On recourt, selon la situation, à des doublets intégraux (citoyens et citoyennes), à des formes abstraites en termes de genre (personne assurée), à des formes neutres du point de vue du genre (les assurés) ou à des périphrases dépourvues de référence à la personne. L’utilisation du masculin générique (citoyens) n’est plus admise. Les formes intégrales sont employées dans les textes continus, autrement dit les textes constitués de phrases rédigées. Les formes abrégées sont acceptées dans les passages de texte concis, les tableaux par exemple. On utilise alors la forme courte avec barre oblique, toutefois sans tiret (référent/e). Les points médians et autres caractères similaires sont proscrits.</w:t>
      </w:r>
    </w:p>
    <w:p>
      <w:r>
        <w:br w:type="page"/>
      </w:r>
    </w:p>
    <w:bookmarkStart w:id="29" w:name="introduction"/>
    <w:p>
      <w:pPr>
        <w:pStyle w:val="berschrift1"/>
      </w:pPr>
      <w:r>
        <w:t xml:space="preserve">Introduction</w:t>
      </w:r>
    </w:p>
    <w:bookmarkStart w:id="24" w:name="statut"/>
    <w:p>
      <w:pPr>
        <w:pStyle w:val="berschrift2"/>
      </w:pPr>
      <w:r>
        <w:t xml:space="preserve">Statut</w:t>
      </w:r>
    </w:p>
    <w:p>
      <w:pPr>
        <w:pStyle w:val="FirstParagraph"/>
      </w:pPr>
      <w:r>
        <w:t xml:space="preserve">Proposition</w:t>
      </w:r>
    </w:p>
    <w:bookmarkEnd w:id="24"/>
    <w:bookmarkStart w:id="25" w:name="champ-dapplication"/>
    <w:p>
      <w:pPr>
        <w:pStyle w:val="berschrift2"/>
      </w:pPr>
      <w:r>
        <w:t xml:space="preserve">Champ d’application</w:t>
      </w:r>
    </w:p>
    <w:p>
      <w:pPr>
        <w:pStyle w:val="FirstParagraph"/>
      </w:pPr>
      <w:r>
        <w:t xml:space="preserve">La norme règle la publication de données sur les actrices et acteurs politiques par les services qui les tiennent déjà aujourd’hui : services parlementaires, chancelleries d’État et administrations communales de tous les niveaux étatiques. Elle couvre en particulier les cas d’utilisation suivants :</w:t>
      </w:r>
    </w:p>
    <w:p>
      <w:pPr>
        <w:pStyle w:val="Compact"/>
        <w:numPr>
          <w:ilvl w:val="0"/>
          <w:numId w:val="1001"/>
        </w:numPr>
      </w:pPr>
      <w:r>
        <w:t xml:space="preserve">publication des membres des parlements, gouvernements et commissions avec leurs affiliations, fonctions et durées de mandat</w:t>
      </w:r>
    </w:p>
    <w:p>
      <w:pPr>
        <w:pStyle w:val="Compact"/>
        <w:numPr>
          <w:ilvl w:val="0"/>
          <w:numId w:val="1001"/>
        </w:numPr>
      </w:pPr>
      <w:r>
        <w:t xml:space="preserve">publication des registres des liens d’intérêts des membres des parlements</w:t>
      </w:r>
    </w:p>
    <w:p>
      <w:pPr>
        <w:pStyle w:val="Compact"/>
        <w:numPr>
          <w:ilvl w:val="0"/>
          <w:numId w:val="1001"/>
        </w:numPr>
      </w:pPr>
      <w:r>
        <w:t xml:space="preserve">référencement des personnes, groupes et organes depuis les autres normes de la famille « Affaires politiques », par exemple pour les interventions et les votes dans le fonctionnement des conseils (eCH-0293) ou pour les auteurs des objets parlementaires (eCH-0295)</w:t>
      </w:r>
    </w:p>
    <w:p>
      <w:pPr>
        <w:pStyle w:val="Compact"/>
        <w:numPr>
          <w:ilvl w:val="0"/>
          <w:numId w:val="1001"/>
        </w:numPr>
      </w:pPr>
      <w:r>
        <w:t xml:space="preserve">réutilisation de ces données par les médias, la recherche et le public, de manière comparable entre les niveaux étatiques</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2"/>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2"/>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2"/>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2"/>
        </w:numPr>
      </w:pPr>
      <w:r>
        <w:rPr>
          <w:b/>
          <w:bCs/>
        </w:rPr>
        <w:t xml:space="preserve">eCH-0295 – Affaires parlementaires (Affairs) :</w:t>
      </w:r>
      <w:r>
        <w:t xml:space="preserve"> </w:t>
      </w:r>
      <w:r>
        <w:t xml:space="preserve">décrit le cycle de vie des affaires politiques.</w:t>
      </w:r>
    </w:p>
    <w:p>
      <w:pPr>
        <w:pStyle w:val="Compact"/>
        <w:numPr>
          <w:ilvl w:val="0"/>
          <w:numId w:val="1002"/>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2"/>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3"/>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3"/>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4"/>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4"/>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7"/>
    <w:bookmarkStart w:id="28"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5"/>
        </w:numPr>
      </w:pPr>
      <w:r>
        <w:rPr>
          <w:b/>
          <w:bCs/>
        </w:rPr>
        <w:t xml:space="preserve">Person</w:t>
      </w:r>
      <w:r>
        <w:t xml:space="preserve"> </w:t>
      </w:r>
      <w:r>
        <w:t xml:space="preserve">– Personnes physiques dans le contexte politique</w:t>
      </w:r>
    </w:p>
    <w:p>
      <w:pPr>
        <w:pStyle w:val="Compact"/>
        <w:numPr>
          <w:ilvl w:val="0"/>
          <w:numId w:val="1005"/>
        </w:numPr>
      </w:pPr>
      <w:r>
        <w:rPr>
          <w:b/>
          <w:bCs/>
        </w:rPr>
        <w:t xml:space="preserve">Group</w:t>
      </w:r>
      <w:r>
        <w:t xml:space="preserve"> </w:t>
      </w:r>
      <w:r>
        <w:t xml:space="preserve">– Organes, partis, groupes parlementaires, conseils, commissions, organisations, etc.</w:t>
      </w:r>
    </w:p>
    <w:p>
      <w:pPr>
        <w:pStyle w:val="Compact"/>
        <w:numPr>
          <w:ilvl w:val="0"/>
          <w:numId w:val="1005"/>
        </w:numPr>
      </w:pPr>
      <w:r>
        <w:rPr>
          <w:b/>
          <w:bCs/>
        </w:rPr>
        <w:t xml:space="preserve">Membership</w:t>
      </w:r>
      <w:r>
        <w:t xml:space="preserve"> </w:t>
      </w:r>
      <w:r>
        <w:t xml:space="preserve">– Lien entre personnes et groupes</w:t>
      </w:r>
    </w:p>
    <w:p>
      <w:pPr>
        <w:pStyle w:val="Compact"/>
        <w:numPr>
          <w:ilvl w:val="0"/>
          <w:numId w:val="1005"/>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8"/>
    <w:bookmarkEnd w:id="29"/>
    <w:bookmarkStart w:id="13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6"/>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6"/>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6"/>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30">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31">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6"/>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6"/>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6"/>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6"/>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42" w:name="classe-person"/>
    <w:p>
      <w:pPr>
        <w:pStyle w:val="berschrift2"/>
      </w:pPr>
      <w:r>
        <w:t xml:space="preserve">Classe: Person</w:t>
      </w:r>
      <w:r>
        <w:t xml:space="preserve"> </w:t>
      </w:r>
      <w:bookmarkStart w:id="32" w:name="Person"/>
      <w:bookmarkEnd w:id="32"/>
    </w:p>
    <w:p>
      <w:pPr>
        <w:pStyle w:val="FirstParagraph"/>
      </w:pPr>
      <w:r>
        <w:rPr>
          <w:i/>
          <w:iCs/>
        </w:rPr>
        <w:t xml:space="preserve">Une personne avec des identifiants, des noms, des adresses, des nationalités et des professions.</w:t>
      </w:r>
    </w:p>
    <w:bookmarkStart w:id="33"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p>
      <w:pPr>
        <w:pStyle w:val="Beschriftung"/>
      </w:pPr>
      <w:r>
        <w:t xml:space="preserve">Tableau</w:t>
      </w:r>
      <w:r>
        <w:t xml:space="preserve"> </w:t>
      </w:r>
      <w:fldSimple w:instr=" SEQ Tableau \* ARABIC ">
        <w:r>
          <w:t>1</w:t>
        </w:r>
      </w:fldSimple>
      <w:r>
        <w:t xml:space="preserve">: Person – Attributs</w:t>
      </w:r>
    </w:p>
    <w:bookmarkEnd w:id="33"/>
    <w:bookmarkStart w:id="34"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Tableau</w:t>
      </w:r>
      <w:r>
        <w:t xml:space="preserve"> </w:t>
      </w:r>
      <w:fldSimple w:instr=" SEQ Tableau \* ARABIC ">
        <w:r>
          <w:t>1</w:t>
        </w:r>
      </w:fldSimple>
      <w:r>
        <w:t xml:space="preserve">: Person – Utilisations</w:t>
      </w:r>
    </w:p>
    <w:bookmarkEnd w:id="34"/>
    <w:bookmarkStart w:id="41" w:name="exemples"/>
    <w:p>
      <w:pPr>
        <w:pStyle w:val="berschrift3"/>
      </w:pPr>
      <w:r>
        <w:t xml:space="preserve">Exemples</w:t>
      </w:r>
    </w:p>
    <w:bookmarkStart w:id="35"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e-name"/>
    <w:p>
      <w:pPr>
        <w:pStyle w:val="berschrift2"/>
      </w:pPr>
      <w:r>
        <w:t xml:space="preserve">Classe: Name</w:t>
      </w:r>
      <w:r>
        <w:t xml:space="preserve"> </w:t>
      </w:r>
      <w:bookmarkStart w:id="43" w:name="Name"/>
      <w:bookmarkEnd w:id="43"/>
    </w:p>
    <w:p>
      <w:pPr>
        <w:pStyle w:val="FirstParagraph"/>
      </w:pPr>
      <w:r>
        <w:rPr>
          <w:i/>
          <w:iCs/>
        </w:rPr>
        <w:t xml:space="preserve">Un nom avec un type (p. ex. nom d’usage, nom officiel), une valeur et une validité temporelle.</w:t>
      </w:r>
    </w:p>
    <w:bookmarkStart w:id="44"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Name – Attributs</w:t>
      </w:r>
    </w:p>
    <w:bookmarkEnd w:id="44"/>
    <w:bookmarkStart w:id="45"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Tableau</w:t>
      </w:r>
      <w:r>
        <w:t xml:space="preserve"> </w:t>
      </w:r>
      <w:fldSimple w:instr=" SEQ Tableau \* ARABIC ">
        <w:r>
          <w:t>1</w:t>
        </w:r>
      </w:fldSimple>
      <w:r>
        <w:t xml:space="preserve">: Name – Utilisations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8">
        <w:r>
          <w:rPr>
            <w:rStyle w:val="Hyperlink"/>
          </w:rPr>
          <w:t xml:space="preserve">act:NameTypeEnum</w:t>
        </w:r>
      </w:hyperlink>
    </w:p>
    <w:bookmarkStart w:id="60"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Tableau</w:t>
      </w:r>
      <w:r>
        <w:t xml:space="preserve"> </w:t>
      </w:r>
      <w:fldSimple w:instr=" SEQ Tableau \* ARABIC ">
        <w:r>
          <w:t>1</w:t>
        </w:r>
      </w:fldSimple>
      <w:r>
        <w:t xml:space="preserve">: NameTypeEnum – Valeurs admissibles</w:t>
      </w:r>
    </w:p>
    <w:bookmarkEnd w:id="60"/>
    <w:bookmarkEnd w:id="61"/>
    <w:bookmarkStart w:id="65" w:name="classe-languageproficiency"/>
    <w:p>
      <w:pPr>
        <w:pStyle w:val="berschrift2"/>
      </w:pPr>
      <w:r>
        <w:t xml:space="preserve">Classe: LanguageProficiency</w:t>
      </w:r>
      <w:r>
        <w:t xml:space="preserve"> </w:t>
      </w:r>
      <w:bookmarkStart w:id="62" w:name="LanguageProficiency"/>
      <w:bookmarkEnd w:id="62"/>
    </w:p>
    <w:p>
      <w:pPr>
        <w:pStyle w:val="FirstParagraph"/>
      </w:pPr>
      <w:r>
        <w:rPr>
          <w:i/>
          <w:iCs/>
        </w:rPr>
        <w:t xml:space="preserve">Compétences linguistiques d’une personne indiquant la langue et le fait qu’il s’agisse ou non de la langue préférée ou de la langue maternelle.</w:t>
      </w:r>
    </w:p>
    <w:bookmarkStart w:id="6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p>
      <w:pPr>
        <w:pStyle w:val="Beschriftung"/>
      </w:pPr>
      <w:r>
        <w:t xml:space="preserve">Tableau</w:t>
      </w:r>
      <w:r>
        <w:t xml:space="preserve"> </w:t>
      </w:r>
      <w:fldSimple w:instr=" SEQ Tableau \* ARABIC ">
        <w:r>
          <w:t>1</w:t>
        </w:r>
      </w:fldSimple>
      <w:r>
        <w:t xml:space="preserve">: LanguageProficiency – Attributs</w:t>
      </w:r>
    </w:p>
    <w:bookmarkEnd w:id="63"/>
    <w:bookmarkStart w:id="6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Tableau</w:t>
      </w:r>
      <w:r>
        <w:t xml:space="preserve"> </w:t>
      </w:r>
      <w:fldSimple w:instr=" SEQ Tableau \* ARABIC ">
        <w:r>
          <w:t>1</w:t>
        </w:r>
      </w:fldSimple>
      <w:r>
        <w:t xml:space="preserve">: LanguageProficiency – Utilisations</w:t>
      </w:r>
    </w:p>
    <w:bookmarkEnd w:id="64"/>
    <w:bookmarkEnd w:id="65"/>
    <w:bookmarkStart w:id="69" w:name="classe-citizenship"/>
    <w:p>
      <w:pPr>
        <w:pStyle w:val="berschrift2"/>
      </w:pPr>
      <w:r>
        <w:t xml:space="preserve">Classe: Citizenship</w:t>
      </w:r>
      <w:r>
        <w:t xml:space="preserve"> </w:t>
      </w:r>
      <w:bookmarkStart w:id="66" w:name="Citizenship"/>
      <w:bookmarkEnd w:id="66"/>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7"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Citizenship – Attributs</w:t>
      </w:r>
    </w:p>
    <w:bookmarkEnd w:id="67"/>
    <w:bookmarkStart w:id="68"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Tableau</w:t>
      </w:r>
      <w:r>
        <w:t xml:space="preserve"> </w:t>
      </w:r>
      <w:fldSimple w:instr=" SEQ Tableau \* ARABIC ">
        <w:r>
          <w:t>1</w:t>
        </w:r>
      </w:fldSimple>
      <w:r>
        <w:t xml:space="preserve">: Citizenship – Utilisations</w:t>
      </w:r>
    </w:p>
    <w:bookmarkEnd w:id="68"/>
    <w:bookmarkEnd w:id="69"/>
    <w:bookmarkStart w:id="73" w:name="classe-gender"/>
    <w:p>
      <w:pPr>
        <w:pStyle w:val="berschrift2"/>
      </w:pPr>
      <w:r>
        <w:t xml:space="preserve">Classe: Gender</w:t>
      </w:r>
      <w:r>
        <w:t xml:space="preserve"> </w:t>
      </w:r>
      <w:bookmarkStart w:id="70" w:name="Gender"/>
      <w:bookmarkEnd w:id="70"/>
    </w:p>
    <w:p>
      <w:pPr>
        <w:pStyle w:val="FirstParagraph"/>
      </w:pPr>
      <w:r>
        <w:rPr>
          <w:i/>
          <w:iCs/>
        </w:rPr>
        <w:t xml:space="preserve">Sexe d’une personne indiquant un code de sexe et la validité temporelle.</w:t>
      </w:r>
    </w:p>
    <w:bookmarkStart w:id="71"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Gender – Attributs</w:t>
      </w:r>
    </w:p>
    <w:bookmarkEnd w:id="71"/>
    <w:bookmarkStart w:id="72"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Tableau</w:t>
      </w:r>
      <w:r>
        <w:t xml:space="preserve"> </w:t>
      </w:r>
      <w:fldSimple w:instr=" SEQ Tableau \* ARABIC ">
        <w:r>
          <w:t>1</w:t>
        </w:r>
      </w:fldSimple>
      <w:r>
        <w:t xml:space="preserve">: Gender – Utilisations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5">
        <w:r>
          <w:rPr>
            <w:rStyle w:val="Hyperlink"/>
          </w:rPr>
          <w:t xml:space="preserve">act:GenderCodeEnum</w:t>
        </w:r>
      </w:hyperlink>
    </w:p>
    <w:bookmarkStart w:id="7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p>
      <w:pPr>
        <w:pStyle w:val="Beschriftung"/>
      </w:pPr>
      <w:r>
        <w:t xml:space="preserve">Tableau</w:t>
      </w:r>
      <w:r>
        <w:t xml:space="preserve"> </w:t>
      </w:r>
      <w:fldSimple w:instr=" SEQ Tableau \* ARABIC ">
        <w:r>
          <w:t>1</w:t>
        </w:r>
      </w:fldSimple>
      <w:r>
        <w:t xml:space="preserve">: GenderCodeEnum – Valeurs admissibles</w:t>
      </w:r>
    </w:p>
    <w:bookmarkEnd w:id="78"/>
    <w:bookmarkEnd w:id="79"/>
    <w:bookmarkStart w:id="87" w:name="classe-occupation"/>
    <w:p>
      <w:pPr>
        <w:pStyle w:val="berschrift2"/>
      </w:pPr>
      <w:r>
        <w:t xml:space="preserve">Classe: Occupation</w:t>
      </w:r>
      <w:r>
        <w:t xml:space="preserve"> </w:t>
      </w:r>
      <w:bookmarkStart w:id="80" w:name="Occupation"/>
      <w:bookmarkEnd w:id="80"/>
    </w:p>
    <w:p>
      <w:pPr>
        <w:pStyle w:val="FirstParagraph"/>
      </w:pPr>
      <w:r>
        <w:rPr>
          <w:i/>
          <w:iCs/>
        </w:rPr>
        <w:t xml:space="preserve">Métier ou profession d’une personne indiquant un libellé, un code ISCO-19, si l’activité est rémunérée, ainsi que la validité temporelle.</w:t>
      </w:r>
    </w:p>
    <w:bookmarkStart w:id="8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Occupation – Attributs</w:t>
      </w:r>
    </w:p>
    <w:bookmarkStart w:id="8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Tableau</w:t>
      </w:r>
      <w:r>
        <w:t xml:space="preserve"> </w:t>
      </w:r>
      <w:fldSimple w:instr=" SEQ Tableau \* ARABIC ">
        <w:r>
          <w:t>1</w:t>
        </w:r>
      </w:fldSimple>
      <w:r>
        <w:t xml:space="preserve">: Occupation – Utilisations</w:t>
      </w:r>
    </w:p>
    <w:bookmarkEnd w:id="83"/>
    <w:bookmarkStart w:id="86" w:name="exemples-1"/>
    <w:p>
      <w:pPr>
        <w:pStyle w:val="berschrift3"/>
      </w:pPr>
      <w:r>
        <w:t xml:space="preserve">Exemples</w:t>
      </w:r>
    </w:p>
    <w:bookmarkStart w:id="84"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e-training"/>
    <w:p>
      <w:pPr>
        <w:pStyle w:val="berschrift2"/>
      </w:pPr>
      <w:r>
        <w:t xml:space="preserve">Classe: Training</w:t>
      </w:r>
      <w:r>
        <w:t xml:space="preserve"> </w:t>
      </w:r>
      <w:bookmarkStart w:id="88" w:name="Training"/>
      <w:bookmarkEnd w:id="88"/>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90"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Training – Attributs</w:t>
      </w:r>
    </w:p>
    <w:bookmarkStart w:id="89"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Tableau</w:t>
      </w:r>
      <w:r>
        <w:t xml:space="preserve"> </w:t>
      </w:r>
      <w:fldSimple w:instr=" SEQ Tableau \* ARABIC ">
        <w:r>
          <w:t>1</w:t>
        </w:r>
      </w:fldSimple>
      <w:r>
        <w:t xml:space="preserve">: Training – Utilisations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4">
        <w:r>
          <w:rPr>
            <w:rStyle w:val="Hyperlink"/>
          </w:rPr>
          <w:t xml:space="preserve">act:TrainingTypeEnum</w:t>
        </w:r>
      </w:hyperlink>
    </w:p>
    <w:bookmarkStart w:id="137"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p>
      <w:pPr>
        <w:pStyle w:val="Beschriftung"/>
      </w:pPr>
      <w:r>
        <w:t xml:space="preserve">Tableau</w:t>
      </w:r>
      <w:r>
        <w:t xml:space="preserve"> </w:t>
      </w:r>
      <w:fldSimple w:instr=" SEQ Tableau \* ARABIC ">
        <w:r>
          <w:t>1</w:t>
        </w:r>
      </w:fldSimple>
      <w:r>
        <w:t xml:space="preserve">: TrainingTypeEnum – Valeurs admissibles</w:t>
      </w:r>
    </w:p>
    <w:bookmarkEnd w:id="137"/>
    <w:p>
      <w:r>
        <w:br w:type="page"/>
      </w:r>
    </w:p>
    <w:bookmarkEnd w:id="138"/>
    <w:bookmarkEnd w:id="139"/>
    <w:bookmarkStart w:id="18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9"/>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9"/>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9"/>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4" w:name="classe-group"/>
    <w:p>
      <w:pPr>
        <w:pStyle w:val="berschrift2"/>
      </w:pPr>
      <w:r>
        <w:t xml:space="preserve">Classe: Group</w:t>
      </w:r>
      <w:r>
        <w:t xml:space="preserve"> </w:t>
      </w:r>
      <w:bookmarkStart w:id="140" w:name="Group"/>
      <w:bookmarkEnd w:id="140"/>
    </w:p>
    <w:p>
      <w:pPr>
        <w:pStyle w:val="FirstParagraph"/>
      </w:pPr>
      <w:r>
        <w:rPr>
          <w:i/>
          <w:iCs/>
        </w:rPr>
        <w:t xml:space="preserve">Un groupe, une organisation ou une collectivité politique (p. ex. parti, commission, parlement, département).</w:t>
      </w:r>
    </w:p>
    <w:bookmarkStart w:id="14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Group – Attributs</w:t>
      </w:r>
    </w:p>
    <w:bookmarkEnd w:id="141"/>
    <w:bookmarkStart w:id="142"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Tableau</w:t>
      </w:r>
      <w:r>
        <w:t xml:space="preserve"> </w:t>
      </w:r>
      <w:fldSimple w:instr=" SEQ Tableau \* ARABIC ">
        <w:r>
          <w:t>1</w:t>
        </w:r>
      </w:fldSimple>
      <w:r>
        <w:t xml:space="preserve">: Group – Utilisations</w:t>
      </w:r>
    </w:p>
    <w:bookmarkEnd w:id="142"/>
    <w:bookmarkStart w:id="153" w:name="exemples-2"/>
    <w:p>
      <w:pPr>
        <w:pStyle w:val="berschrift3"/>
      </w:pPr>
      <w:r>
        <w:t xml:space="preserve">Exemples</w:t>
      </w:r>
    </w:p>
    <w:bookmarkStart w:id="14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e-grouptype"/>
    <w:p>
      <w:pPr>
        <w:pStyle w:val="berschrift2"/>
      </w:pPr>
      <w:r>
        <w:t xml:space="preserve">Classe: GroupType</w:t>
      </w:r>
      <w:r>
        <w:t xml:space="preserve"> </w:t>
      </w:r>
      <w:bookmarkStart w:id="155" w:name="GroupType"/>
      <w:bookmarkEnd w:id="155"/>
    </w:p>
    <w:p>
      <w:pPr>
        <w:pStyle w:val="FirstParagraph"/>
      </w:pPr>
      <w:r>
        <w:rPr>
          <w:i/>
          <w:iCs/>
        </w:rPr>
        <w:t xml:space="preserve">Type de groupe (p. ex. parti, commission, parlement, département).</w:t>
      </w:r>
    </w:p>
    <w:bookmarkStart w:id="156"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p>
      <w:pPr>
        <w:pStyle w:val="Beschriftung"/>
      </w:pPr>
      <w:r>
        <w:t xml:space="preserve">Tableau</w:t>
      </w:r>
      <w:r>
        <w:t xml:space="preserve"> </w:t>
      </w:r>
      <w:fldSimple w:instr=" SEQ Tableau \* ARABIC ">
        <w:r>
          <w:t>1</w:t>
        </w:r>
      </w:fldSimple>
      <w:r>
        <w:t xml:space="preserve">: GroupType – Attributs</w:t>
      </w:r>
    </w:p>
    <w:bookmarkEnd w:id="156"/>
    <w:bookmarkStart w:id="157"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Tableau</w:t>
      </w:r>
      <w:r>
        <w:t xml:space="preserve"> </w:t>
      </w:r>
      <w:fldSimple w:instr=" SEQ Tableau \* ARABIC ">
        <w:r>
          <w:t>1</w:t>
        </w:r>
      </w:fldSimple>
      <w:r>
        <w:t xml:space="preserve">: GroupType – Utilisations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Tableau</w:t>
      </w:r>
      <w:r>
        <w:t xml:space="preserve"> </w:t>
      </w:r>
      <w:fldSimple w:instr=" SEQ Tableau \* ARABIC ">
        <w:r>
          <w:t>1</w:t>
        </w:r>
      </w:fldSimple>
      <w:r>
        <w:t xml:space="preserve">: GroupTypeEnum – Valeurs admissibles</w:t>
      </w:r>
    </w:p>
    <w:bookmarkEnd w:id="184"/>
    <w:p>
      <w:r>
        <w:br w:type="page"/>
      </w:r>
    </w:p>
    <w:bookmarkEnd w:id="185"/>
    <w:bookmarkEnd w:id="186"/>
    <w:bookmarkStart w:id="21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10"/>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10"/>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10"/>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10"/>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10"/>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9" w:name="classe-membership"/>
    <w:p>
      <w:pPr>
        <w:pStyle w:val="berschrift2"/>
      </w:pPr>
      <w:r>
        <w:t xml:space="preserve">Classe: Membership</w:t>
      </w:r>
      <w:r>
        <w:t xml:space="preserve"> </w:t>
      </w:r>
      <w:bookmarkStart w:id="187" w:name="Membership"/>
      <w:bookmarkEnd w:id="187"/>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8"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Membership – Attributs</w:t>
      </w:r>
    </w:p>
    <w:bookmarkEnd w:id="188"/>
    <w:bookmarkStart w:id="189"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Tableau</w:t>
      </w:r>
      <w:r>
        <w:t xml:space="preserve"> </w:t>
      </w:r>
      <w:fldSimple w:instr=" SEQ Tableau \* ARABIC ">
        <w:r>
          <w:t>1</w:t>
        </w:r>
      </w:fldSimple>
      <w:r>
        <w:t xml:space="preserve">: Membership – Utilisations</w:t>
      </w:r>
    </w:p>
    <w:bookmarkEnd w:id="189"/>
    <w:bookmarkStart w:id="198" w:name="exemples-3"/>
    <w:p>
      <w:pPr>
        <w:pStyle w:val="berschrift3"/>
      </w:pPr>
      <w:r>
        <w:t xml:space="preserve">Exemples</w:t>
      </w:r>
    </w:p>
    <w:bookmarkStart w:id="190"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e-roletype"/>
    <w:p>
      <w:pPr>
        <w:pStyle w:val="berschrift2"/>
      </w:pPr>
      <w:r>
        <w:t xml:space="preserve">Classe: RoleType</w:t>
      </w:r>
      <w:r>
        <w:t xml:space="preserve"> </w:t>
      </w:r>
      <w:bookmarkStart w:id="200" w:name="RoleType"/>
      <w:bookmarkEnd w:id="200"/>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202"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p>
      <w:pPr>
        <w:pStyle w:val="Beschriftung"/>
      </w:pPr>
      <w:r>
        <w:t xml:space="preserve">Tableau</w:t>
      </w:r>
      <w:r>
        <w:t xml:space="preserve"> </w:t>
      </w:r>
      <w:fldSimple w:instr=" SEQ Tableau \* ARABIC ">
        <w:r>
          <w:t>1</w:t>
        </w:r>
      </w:fldSimple>
      <w:r>
        <w:t xml:space="preserve">: RoleType – Attributs</w:t>
      </w:r>
    </w:p>
    <w:bookmarkStart w:id="201"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Tableau</w:t>
      </w:r>
      <w:r>
        <w:t xml:space="preserve"> </w:t>
      </w:r>
      <w:fldSimple w:instr=" SEQ Tableau \* ARABIC ">
        <w:r>
          <w:t>1</w:t>
        </w:r>
      </w:fldSimple>
      <w:r>
        <w:t xml:space="preserve">: RoleType – Utilisations</w:t>
      </w:r>
    </w:p>
    <w:bookmarkStart w:id="203" w:name="règles"/>
    <w:p>
      <w:pPr>
        <w:pStyle w:val="berschrift5"/>
      </w:pPr>
      <w:r>
        <w:t xml:space="preserve">Règles</w:t>
      </w:r>
    </w:p>
    <w:p>
      <w:pPr>
        <w:pStyle w:val="Compact"/>
        <w:numPr>
          <w:ilvl w:val="0"/>
          <w:numId w:val="1012"/>
        </w:numPr>
      </w:pPr>
      <w:r>
        <w:t xml:space="preserve">Si le type de rôle est « other », un libellé descriptif doit être fourni.</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Rôles qu’une personne peut occuper dans le cadre d’une affiliation.</w:t>
      </w:r>
    </w:p>
    <w:p>
      <w:pPr>
        <w:pStyle w:val="Textkrper"/>
      </w:pPr>
      <w:r>
        <w:t xml:space="preserve">URI:</w:t>
      </w:r>
      <w:r>
        <w:t xml:space="preserve"> </w:t>
      </w:r>
      <w:hyperlink ns1:id="rId207">
        <w:r>
          <w:rPr>
            <w:rStyle w:val="Hyperlink"/>
          </w:rPr>
          <w:t xml:space="preserve">act:RoleEnum</w:t>
        </w:r>
      </w:hyperlink>
    </w:p>
    <w:bookmarkStart w:id="20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p>
      <w:pPr>
        <w:pStyle w:val="Beschriftung"/>
      </w:pPr>
      <w:r>
        <w:t xml:space="preserve">Tableau</w:t>
      </w:r>
      <w:r>
        <w:t xml:space="preserve"> </w:t>
      </w:r>
      <w:fldSimple w:instr=" SEQ Tableau \* ARABIC ">
        <w:r>
          <w:t>1</w:t>
        </w:r>
      </w:fldSimple>
      <w:r>
        <w:t xml:space="preserve">: RoleEnum – Valeurs admissibles</w:t>
      </w:r>
    </w:p>
    <w:bookmarkEnd w:id="208"/>
    <w:bookmarkEnd w:id="209"/>
    <w:bookmarkStart w:id="216" w:name="classe-electoraldistrict"/>
    <w:p>
      <w:pPr>
        <w:pStyle w:val="berschrift2"/>
      </w:pPr>
      <w:r>
        <w:t xml:space="preserve">Classe: ElectoralDistrict</w:t>
      </w:r>
      <w:r>
        <w:t xml:space="preserve"> </w:t>
      </w:r>
      <w:bookmarkStart w:id="210" w:name="ElectoralDistrict"/>
      <w:bookmarkEnd w:id="210"/>
    </w:p>
    <w:p>
      <w:pPr>
        <w:pStyle w:val="FirstParagraph"/>
      </w:pPr>
      <w:r>
        <w:rPr>
          <w:i/>
          <w:iCs/>
        </w:rPr>
        <w:t xml:space="preserve">Circonscription ou région électorale associée à une affiliation. La validité temporelle est héritée de l’affiliation englobante.</w:t>
      </w:r>
    </w:p>
    <w:bookmarkStart w:id="21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p>
      <w:pPr>
        <w:pStyle w:val="Beschriftung"/>
      </w:pPr>
      <w:r>
        <w:t xml:space="preserve">Tableau</w:t>
      </w:r>
      <w:r>
        <w:t xml:space="preserve"> </w:t>
      </w:r>
      <w:fldSimple w:instr=" SEQ Tableau \* ARABIC ">
        <w:r>
          <w:t>1</w:t>
        </w:r>
      </w:fldSimple>
      <w:r>
        <w:t xml:space="preserve">: ElectoralDistrict – Attributs</w:t>
      </w:r>
    </w:p>
    <w:bookmarkEnd w:id="211"/>
    <w:bookmarkStart w:id="21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Tableau</w:t>
      </w:r>
      <w:r>
        <w:t xml:space="preserve"> </w:t>
      </w:r>
      <w:fldSimple w:instr=" SEQ Tableau \* ARABIC ">
        <w:r>
          <w:t>1</w:t>
        </w:r>
      </w:fldSimple>
      <w:r>
        <w:t xml:space="preserve">: ElectoralDistrict – Utilisations</w:t>
      </w:r>
    </w:p>
    <w:bookmarkEnd w:id="212"/>
    <w:bookmarkStart w:id="215" w:name="exemples-4"/>
    <w:p>
      <w:pPr>
        <w:pStyle w:val="berschrift3"/>
      </w:pPr>
      <w:r>
        <w:t xml:space="preserve">Exemples</w:t>
      </w:r>
    </w:p>
    <w:bookmarkStart w:id="213"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8">
        <w:r>
          <w:rPr>
            <w:rStyle w:val="Hyperlink"/>
          </w:rPr>
          <w:t xml:space="preserve">Assemblée fédérale – Liens d’intérêts</w:t>
        </w:r>
      </w:hyperlink>
      <w:r>
        <w:t xml:space="preserve">.</w:t>
      </w:r>
    </w:p>
    <w:p>
      <w:pPr>
        <w:pStyle w:val="Compact"/>
        <w:numPr>
          <w:ilvl w:val="0"/>
          <w:numId w:val="1013"/>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3"/>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3"/>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3"/>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3"/>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3"/>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3"/>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3"/>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3"/>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3" w:name="classe-interestlink"/>
    <w:p>
      <w:pPr>
        <w:pStyle w:val="berschrift2"/>
      </w:pPr>
      <w:r>
        <w:t xml:space="preserve">Classe: InterestLink</w:t>
      </w:r>
      <w:r>
        <w:t xml:space="preserve"> </w:t>
      </w:r>
      <w:bookmarkStart w:id="219" w:name="InterestLink"/>
      <w:bookmarkEnd w:id="219"/>
    </w:p>
    <w:p>
      <w:pPr>
        <w:pStyle w:val="FirstParagraph"/>
      </w:pPr>
      <w:r>
        <w:rPr>
          <w:i/>
          <w:iCs/>
        </w:rPr>
        <w:t xml:space="preserve">Un lien d’intérêts (conflit d’intérêts, financement politique) d’une personne avec une organisation située en dehors du schéma des acteurs.</w:t>
      </w:r>
    </w:p>
    <w:bookmarkStart w:id="22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InterestLink – Attributs</w:t>
      </w:r>
    </w:p>
    <w:bookmarkStart w:id="22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Tableau</w:t>
      </w:r>
      <w:r>
        <w:t xml:space="preserve"> </w:t>
      </w:r>
      <w:fldSimple w:instr=" SEQ Tableau \* ARABIC ">
        <w:r>
          <w:t>1</w:t>
        </w:r>
      </w:fldSimple>
      <w:r>
        <w:t xml:space="preserve">: InterestLink – Utilisations</w:t>
      </w:r>
    </w:p>
    <w:bookmarkEnd w:id="222"/>
    <w:bookmarkStart w:id="232" w:name="exemples-5"/>
    <w:p>
      <w:pPr>
        <w:pStyle w:val="berschrift3"/>
      </w:pPr>
      <w:r>
        <w:t xml:space="preserve">Exemples</w:t>
      </w:r>
    </w:p>
    <w:bookmarkStart w:id="223"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de liens d’intérêts (conflits d’intérêts, financement politique).</w:t>
      </w:r>
    </w:p>
    <w:p>
      <w:pPr>
        <w:pStyle w:val="Textkrper"/>
      </w:pPr>
      <w:r>
        <w:t xml:space="preserve">URI:</w:t>
      </w:r>
      <w:r>
        <w:t xml:space="preserve"> </w:t>
      </w:r>
      <w:hyperlink ns1:id="rId235">
        <w:r>
          <w:rPr>
            <w:rStyle w:val="Hyperlink"/>
          </w:rPr>
          <w:t xml:space="preserve">act:InterestTypeEnum</w:t>
        </w:r>
      </w:hyperlink>
    </w:p>
    <w:bookmarkStart w:id="242"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Tableau</w:t>
      </w:r>
      <w:r>
        <w:t xml:space="preserve"> </w:t>
      </w:r>
      <w:fldSimple w:instr=" SEQ Tableau \* ARABIC ">
        <w:r>
          <w:t>1</w:t>
        </w:r>
      </w:fldSimple>
      <w:r>
        <w:t xml:space="preserve">: InterestTypeEnum – Valeurs admissibles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Tableau</w:t>
      </w:r>
      <w:r>
        <w:t xml:space="preserve"> </w:t>
      </w:r>
      <w:fldSimple w:instr=" SEQ Tableau \* ARABIC ">
        <w:r>
          <w:t>1</w:t>
        </w:r>
      </w:fldSimple>
      <w:r>
        <w:t xml:space="preserve">: LegalFormEnum – Valeurs admissibles</w:t>
      </w:r>
    </w:p>
    <w:bookmarkEnd w:id="284"/>
    <w:p>
      <w:r>
        <w:br w:type="page"/>
      </w:r>
    </w:p>
    <w:bookmarkEnd w:id="285"/>
    <w:bookmarkEnd w:id="286"/>
    <w:bookmarkStart w:id="334" w:name="éléments-partagés"/>
    <w:p>
      <w:pPr>
        <w:pStyle w:val="berschrift1"/>
      </w:pPr>
      <w:r>
        <w:t xml:space="preserve">Éléments partagés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5"/>
        </w:numPr>
      </w:pPr>
      <w:r>
        <w:rPr>
          <w:b/>
          <w:bCs/>
        </w:rPr>
        <w:t xml:space="preserve">Des données locales utiles</w:t>
      </w:r>
      <w:r>
        <w:t xml:space="preserve"> </w:t>
      </w:r>
      <w:r>
        <w:t xml:space="preserve">sans requêtes coûteuses sur l’entité complète</w:t>
      </w:r>
    </w:p>
    <w:p>
      <w:pPr>
        <w:pStyle w:val="Compact"/>
        <w:numPr>
          <w:ilvl w:val="0"/>
          <w:numId w:val="1015"/>
        </w:numPr>
      </w:pPr>
      <w:r>
        <w:rPr>
          <w:b/>
          <w:bCs/>
        </w:rPr>
        <w:t xml:space="preserve">Aucune redondance</w:t>
      </w:r>
      <w:r>
        <w:t xml:space="preserve">, car il n’est pas nécessaire de répéter toutes les informations à chaque mention</w:t>
      </w:r>
    </w:p>
    <w:p>
      <w:pPr>
        <w:pStyle w:val="Compact"/>
        <w:numPr>
          <w:ilvl w:val="0"/>
          <w:numId w:val="1015"/>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7"/>
    <w:bookmarkStart w:id="292" w:name="classe-personreference"/>
    <w:p>
      <w:pPr>
        <w:pStyle w:val="berschrift2"/>
      </w:pPr>
      <w:r>
        <w:t xml:space="preserve">Classe: PersonReference</w:t>
      </w:r>
      <w:r>
        <w:t xml:space="preserve"> </w:t>
      </w:r>
      <w:bookmarkStart w:id="288" w:name="PersonReference"/>
      <w:bookmarkEnd w:id="28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9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p>
      <w:pPr>
        <w:pStyle w:val="Beschriftung"/>
      </w:pPr>
      <w:r>
        <w:t xml:space="preserve">Tableau</w:t>
      </w:r>
      <w:r>
        <w:t xml:space="preserve"> </w:t>
      </w:r>
      <w:fldSimple w:instr=" SEQ Tableau \* ARABIC ">
        <w:r>
          <w:t>1</w:t>
        </w:r>
      </w:fldSimple>
      <w:r>
        <w:t xml:space="preserve">: PersonReference – Attributs</w:t>
      </w:r>
    </w:p>
    <w:bookmarkStart w:id="28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Tableau</w:t>
      </w:r>
      <w:r>
        <w:t xml:space="preserve"> </w:t>
      </w:r>
      <w:fldSimple w:instr=" SEQ Tableau \* ARABIC ">
        <w:r>
          <w:t>1</w:t>
        </w:r>
      </w:fldSimple>
      <w:r>
        <w:t xml:space="preserve">: PersonReference – Utilisations</w:t>
      </w:r>
    </w:p>
    <w:bookmarkEnd w:id="291"/>
    <w:bookmarkEnd w:id="292"/>
    <w:bookmarkStart w:id="297" w:name="classe-groupreference"/>
    <w:p>
      <w:pPr>
        <w:pStyle w:val="berschrift2"/>
      </w:pPr>
      <w:r>
        <w:t xml:space="preserve">Classe: GroupReference</w:t>
      </w:r>
      <w:r>
        <w:t xml:space="preserve"> </w:t>
      </w:r>
      <w:bookmarkStart w:id="293" w:name="GroupReference"/>
      <w:bookmarkEnd w:id="29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p>
      <w:pPr>
        <w:pStyle w:val="Beschriftung"/>
      </w:pPr>
      <w:r>
        <w:t xml:space="preserve">Tableau</w:t>
      </w:r>
      <w:r>
        <w:t xml:space="preserve"> </w:t>
      </w:r>
      <w:fldSimple w:instr=" SEQ Tableau \* ARABIC ">
        <w:r>
          <w:t>1</w:t>
        </w:r>
      </w:fldSimple>
      <w:r>
        <w:t xml:space="preserve">: GroupReference – Attributs</w:t>
      </w:r>
    </w:p>
    <w:bookmarkStart w:id="294"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Tableau</w:t>
      </w:r>
      <w:r>
        <w:t xml:space="preserve"> </w:t>
      </w:r>
      <w:fldSimple w:instr=" SEQ Tableau \* ARABIC ">
        <w:r>
          <w:t>1</w:t>
        </w:r>
      </w:fldSimple>
      <w:r>
        <w:t xml:space="preserve">: GroupReference – Utilisations</w:t>
      </w:r>
    </w:p>
    <w:bookmarkEnd w:id="296"/>
    <w:bookmarkEnd w:id="297"/>
    <w:bookmarkStart w:id="300"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8">
        <w:r>
          <w:rPr>
            <w:rStyle w:val="Hyperlink"/>
          </w:rPr>
          <w:t xml:space="preserve">API de recherche de geo.admin.ch</w:t>
        </w:r>
      </w:hyperlink>
      <w:r>
        <w:t xml:space="preserve"> </w:t>
      </w:r>
      <w:r>
        <w:t xml:space="preserve">ou procéder à un rapprochement avec le</w:t>
      </w:r>
      <w:r>
        <w:t xml:space="preserve"> </w:t>
      </w:r>
      <w:hyperlink ns1:id="rId299">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300"/>
    <w:bookmarkStart w:id="308" w:name="classe-address"/>
    <w:p>
      <w:pPr>
        <w:pStyle w:val="berschrift2"/>
      </w:pPr>
      <w:r>
        <w:t xml:space="preserve">Classe: Address</w:t>
      </w:r>
      <w:r>
        <w:t xml:space="preserve"> </w:t>
      </w:r>
      <w:bookmarkStart w:id="301" w:name="Address"/>
      <w:bookmarkEnd w:id="301"/>
    </w:p>
    <w:p>
      <w:pPr>
        <w:pStyle w:val="FirstParagraph"/>
      </w:pPr>
      <w:r>
        <w:rPr>
          <w:i/>
          <w:iCs/>
        </w:rPr>
        <w:t xml:space="preserve">Une adresse avec un type (p. ex. adresse privée, adresse professionnelle) et une valeur.</w:t>
      </w:r>
    </w:p>
    <w:bookmarkStart w:id="30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p>
      <w:pPr>
        <w:pStyle w:val="Beschriftung"/>
      </w:pPr>
      <w:r>
        <w:t xml:space="preserve">Tableau</w:t>
      </w:r>
      <w:r>
        <w:t xml:space="preserve"> </w:t>
      </w:r>
      <w:fldSimple w:instr=" SEQ Tableau \* ARABIC ">
        <w:r>
          <w:t>1</w:t>
        </w:r>
      </w:fldSimple>
      <w:r>
        <w:t xml:space="preserve">: Address – Attributs</w:t>
      </w:r>
    </w:p>
    <w:bookmarkStart w:id="30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Tableau</w:t>
      </w:r>
      <w:r>
        <w:t xml:space="preserve"> </w:t>
      </w:r>
      <w:fldSimple w:instr=" SEQ Tableau \* ARABIC ">
        <w:r>
          <w:t>1</w:t>
        </w:r>
      </w:fldSimple>
      <w:r>
        <w:t xml:space="preserve">: Address – Utilisations</w:t>
      </w:r>
    </w:p>
    <w:bookmarkEnd w:id="304"/>
    <w:bookmarkStart w:id="307" w:name="exemples-6"/>
    <w:p>
      <w:pPr>
        <w:pStyle w:val="berschrift3"/>
      </w:pPr>
      <w:r>
        <w:t xml:space="preserve">Exemples</w:t>
      </w:r>
    </w:p>
    <w:bookmarkStart w:id="305"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d’adresses.</w:t>
      </w:r>
    </w:p>
    <w:p>
      <w:pPr>
        <w:pStyle w:val="Textkrper"/>
      </w:pPr>
      <w:r>
        <w:t xml:space="preserve">URI:</w:t>
      </w:r>
      <w:r>
        <w:t xml:space="preserve"> </w:t>
      </w:r>
      <w:hyperlink ns1:id="rId310">
        <w:r>
          <w:rPr>
            <w:rStyle w:val="Hyperlink"/>
          </w:rPr>
          <w:t xml:space="preserve">act:AddressTypeEnum</w:t>
        </w:r>
      </w:hyperlink>
    </w:p>
    <w:bookmarkStart w:id="311"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p>
      <w:pPr>
        <w:pStyle w:val="Beschriftung"/>
      </w:pPr>
      <w:r>
        <w:t xml:space="preserve">Tableau</w:t>
      </w:r>
      <w:r>
        <w:t xml:space="preserve"> </w:t>
      </w:r>
      <w:fldSimple w:instr=" SEQ Tableau \* ARABIC ">
        <w:r>
          <w:t>1</w:t>
        </w:r>
      </w:fldSimple>
      <w:r>
        <w:t xml:space="preserve">: AddressTypeEnum – Valeurs admissibles</w:t>
      </w:r>
    </w:p>
    <w:bookmarkEnd w:id="311"/>
    <w:bookmarkEnd w:id="312"/>
    <w:bookmarkStart w:id="316" w:name="classe-contact"/>
    <w:p>
      <w:pPr>
        <w:pStyle w:val="berschrift2"/>
      </w:pPr>
      <w:r>
        <w:t xml:space="preserve">Classe: Contact</w:t>
      </w:r>
      <w:r>
        <w:t xml:space="preserve"> </w:t>
      </w:r>
      <w:bookmarkStart w:id="313" w:name="Contact"/>
      <w:bookmarkEnd w:id="313"/>
    </w:p>
    <w:p>
      <w:pPr>
        <w:pStyle w:val="FirstParagraph"/>
      </w:pPr>
      <w:r>
        <w:rPr>
          <w:i/>
          <w:iCs/>
        </w:rPr>
        <w:t xml:space="preserve">Informations de contact d’une personne indiquant un type (p. ex. e-mail, LinkedIn) et une valeur.</w:t>
      </w:r>
    </w:p>
    <w:bookmarkStart w:id="31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p>
      <w:pPr>
        <w:pStyle w:val="Beschriftung"/>
      </w:pPr>
      <w:r>
        <w:t xml:space="preserve">Tableau</w:t>
      </w:r>
      <w:r>
        <w:t xml:space="preserve"> </w:t>
      </w:r>
      <w:fldSimple w:instr=" SEQ Tableau \* ARABIC ">
        <w:r>
          <w:t>1</w:t>
        </w:r>
      </w:fldSimple>
      <w:r>
        <w:t xml:space="preserve">: Contact – Attributs</w:t>
      </w:r>
    </w:p>
    <w:bookmarkEnd w:id="314"/>
    <w:bookmarkStart w:id="315"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Tableau</w:t>
      </w:r>
      <w:r>
        <w:t xml:space="preserve"> </w:t>
      </w:r>
      <w:fldSimple w:instr=" SEQ Tableau \* ARABIC ">
        <w:r>
          <w:t>1</w:t>
        </w:r>
      </w:fldSimple>
      <w:r>
        <w:t xml:space="preserve">: Contact – Utilisations</w:t>
      </w:r>
    </w:p>
    <w:bookmarkEnd w:id="315"/>
    <w:bookmarkEnd w:id="316"/>
    <w:bookmarkStart w:id="317"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7"/>
    <w:bookmarkStart w:id="321" w:name="classe-hasidentification"/>
    <w:p>
      <w:pPr>
        <w:pStyle w:val="berschrift2"/>
      </w:pPr>
      <w:r>
        <w:t xml:space="preserve">Classe: HasIdentification</w:t>
      </w:r>
      <w:r>
        <w:t xml:space="preserve"> </w:t>
      </w:r>
      <w:bookmarkStart w:id="318" w:name="HasIdentification"/>
      <w:bookmarkEnd w:id="318"/>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9"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p>
      <w:pPr>
        <w:pStyle w:val="Beschriftung"/>
      </w:pPr>
      <w:r>
        <w:t xml:space="preserve">Tableau</w:t>
      </w:r>
      <w:r>
        <w:t xml:space="preserve"> </w:t>
      </w:r>
      <w:fldSimple w:instr=" SEQ Tableau \* ARABIC ">
        <w:r>
          <w:t>1</w:t>
        </w:r>
      </w:fldSimple>
      <w:r>
        <w:t xml:space="preserve">: HasIdentification – Attributs</w:t>
      </w:r>
    </w:p>
    <w:bookmarkEnd w:id="319"/>
    <w:bookmarkStart w:id="320"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e-hasreferenceidentification"/>
    <w:p>
      <w:pPr>
        <w:pStyle w:val="berschrift2"/>
      </w:pPr>
      <w:r>
        <w:t xml:space="preserve">Classe: HasReferenceIdentification</w:t>
      </w:r>
      <w:r>
        <w:t xml:space="preserve"> </w:t>
      </w:r>
      <w:bookmarkStart w:id="322" w:name="HasReferenceIdentification"/>
      <w:bookmarkEnd w:id="322"/>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3"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p>
      <w:pPr>
        <w:pStyle w:val="Beschriftung"/>
      </w:pPr>
      <w:r>
        <w:t xml:space="preserve">Tableau</w:t>
      </w:r>
      <w:r>
        <w:t xml:space="preserve"> </w:t>
      </w:r>
      <w:fldSimple w:instr=" SEQ Tableau \* ARABIC ">
        <w:r>
          <w:t>1</w:t>
        </w:r>
      </w:fldSimple>
      <w:r>
        <w:t xml:space="preserve">: HasReferenceIdentification – Attributs</w:t>
      </w:r>
    </w:p>
    <w:bookmarkEnd w:id="323"/>
    <w:bookmarkStart w:id="324"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e-hastemporalvalidity"/>
    <w:p>
      <w:pPr>
        <w:pStyle w:val="berschrift2"/>
      </w:pPr>
      <w:r>
        <w:t xml:space="preserve">Classe: HasTemporalValidity</w:t>
      </w:r>
      <w:r>
        <w:t xml:space="preserve"> </w:t>
      </w:r>
      <w:bookmarkStart w:id="326" w:name="HasTemporalValidity"/>
      <w:bookmarkEnd w:id="326"/>
    </w:p>
    <w:p>
      <w:pPr>
        <w:pStyle w:val="FirstParagraph"/>
      </w:pPr>
      <w:r>
        <w:rPr>
          <w:i/>
          <w:iCs/>
        </w:rPr>
        <w:t xml:space="preserve">Une classe mixin qui fournit des slots pour modéliser la validité temporelle d’une information (et non d’un événement).</w:t>
      </w:r>
    </w:p>
    <w:bookmarkStart w:id="327"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p>
      <w:pPr>
        <w:pStyle w:val="Beschriftung"/>
      </w:pPr>
      <w:r>
        <w:t xml:space="preserve">Tableau</w:t>
      </w:r>
      <w:r>
        <w:t xml:space="preserve"> </w:t>
      </w:r>
      <w:fldSimple w:instr=" SEQ Tableau \* ARABIC ">
        <w:r>
          <w:t>1</w:t>
        </w:r>
      </w:fldSimple>
      <w:r>
        <w:t xml:space="preserve">: HasTemporalValidity – Attributs</w:t>
      </w:r>
    </w:p>
    <w:bookmarkEnd w:id="327"/>
    <w:bookmarkStart w:id="328"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e-hascreationmodificationdates"/>
    <w:p>
      <w:pPr>
        <w:pStyle w:val="berschrift2"/>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p>
      <w:pPr>
        <w:pStyle w:val="Beschriftung"/>
      </w:pPr>
      <w:r>
        <w:t xml:space="preserve">Tableau</w:t>
      </w:r>
      <w:r>
        <w:t xml:space="preserve"> </w:t>
      </w:r>
      <w:fldSimple w:instr=" SEQ Tableau \* ARABIC ">
        <w:r>
          <w:t>1</w:t>
        </w:r>
      </w:fldSimple>
      <w:r>
        <w:t xml:space="preserve">: HasCreationModificationDates – Attributs</w:t>
      </w:r>
    </w:p>
    <w:bookmarkEnd w:id="331"/>
    <w:bookmarkStart w:id="332"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écurité"/>
    <w:p>
      <w:pPr>
        <w:pStyle w:val="berschrift1"/>
      </w:pPr>
      <w:r>
        <w:t xml:space="preserve">Sécurité</w:t>
      </w:r>
    </w:p>
    <w:p>
      <w:pPr>
        <w:pStyle w:val="FirstParagraph"/>
      </w:pPr>
      <w:r>
        <w:t xml:space="preserve">La présente norme décrit des données concernant des personnes physiques. Il s’agit de données personnelles au sens de l’art. 5 let. a de la loi fédérale sur la protection des données (LPD, en vigueur depuis le 1er septembre 2023). Les indications sur l’appartenance à un parti, sur les mandats et sur les liens d’intérêts permettent de déduire des opinions politiques et constituent donc des données sensibles (art. 5 let. c LPD).</w:t>
      </w:r>
    </w:p>
    <w:p>
      <w:pPr>
        <w:pStyle w:val="Textkrper"/>
      </w:pPr>
      <w:r>
        <w:t xml:space="preserve">La norme ne crée aucune base légale de publication. Elle structure des données dont la publication découle du principe de transparence, d’obligations de publicité des parlements ou d’un consentement. La décision de publier un élément de données appartient à l’organe qui publie, non au schéma.</w:t>
      </w:r>
    </w:p>
    <w:p>
      <w:pPr>
        <w:pStyle w:val="Textkrper"/>
      </w:pPr>
      <w:r>
        <w:t xml:space="preserve">Lors de l’application, il convient en particulier de tenir compte des points suivants :</w:t>
      </w:r>
    </w:p>
    <w:p>
      <w:pPr>
        <w:pStyle w:val="Compact"/>
        <w:numPr>
          <w:ilvl w:val="0"/>
          <w:numId w:val="1019"/>
        </w:numPr>
      </w:pPr>
      <w:r>
        <w:rPr>
          <w:b/>
          <w:bCs/>
        </w:rPr>
        <w:t xml:space="preserve">Base légale pour chaque élément.</w:t>
      </w:r>
      <w:r>
        <w:t xml:space="preserve"> </w:t>
      </w:r>
      <w:r>
        <w:t xml:space="preserve">Tout élément du schéma n’est pas publiable dans tous les contextes. L’organe qui publie vérifie, pour chaque élément renseigné, l’existence d’une base légale ou d’un consentement.</w:t>
      </w:r>
    </w:p>
    <w:p>
      <w:pPr>
        <w:pStyle w:val="Compact"/>
        <w:numPr>
          <w:ilvl w:val="0"/>
          <w:numId w:val="1019"/>
        </w:numPr>
      </w:pPr>
      <w:r>
        <w:rPr>
          <w:b/>
          <w:bCs/>
        </w:rPr>
        <w:t xml:space="preserve">Minimisation des données.</w:t>
      </w:r>
      <w:r>
        <w:t xml:space="preserve"> </w:t>
      </w:r>
      <w:r>
        <w:t xml:space="preserve">Les éléments facultatifs — en particulier la date de naissance, l’adresse et les coordonnées — ne sont renseignés que s’ils sont nécessaires au but de la publication.</w:t>
      </w:r>
    </w:p>
    <w:p>
      <w:pPr>
        <w:pStyle w:val="Compact"/>
        <w:numPr>
          <w:ilvl w:val="0"/>
          <w:numId w:val="1019"/>
        </w:numPr>
      </w:pPr>
      <w:r>
        <w:rPr>
          <w:b/>
          <w:bCs/>
        </w:rPr>
        <w:t xml:space="preserve">Adresses privées du domicile.</w:t>
      </w:r>
      <w:r>
        <w:t xml:space="preserve"> </w:t>
      </w:r>
      <w:r>
        <w:t xml:space="preserve">Leur publication fait l’objet d’interventions parlementaires (cf. annexe A). Lorsqu’une adresse est nécessaire, il convient d’utiliser si possible une adresse professionnelle ou de correspondance.</w:t>
      </w:r>
    </w:p>
    <w:p>
      <w:pPr>
        <w:pStyle w:val="Compact"/>
        <w:numPr>
          <w:ilvl w:val="0"/>
          <w:numId w:val="1019"/>
        </w:numPr>
      </w:pPr>
      <w:r>
        <w:rPr>
          <w:b/>
          <w:bCs/>
        </w:rPr>
        <w:t xml:space="preserve">Agrégation.</w:t>
      </w:r>
      <w:r>
        <w:t xml:space="preserve"> </w:t>
      </w:r>
      <w:r>
        <w:t xml:space="preserve">Le regroupement de plusieurs sources peut produire des profils de la personnalité allant au-delà du but de chaque publication prise isolément. Quiconque regroupe des données selon la présente norme réexamine la finalité du traitement.</w:t>
      </w:r>
    </w:p>
    <w:p>
      <w:pPr>
        <w:pStyle w:val="Compact"/>
        <w:numPr>
          <w:ilvl w:val="0"/>
          <w:numId w:val="1019"/>
        </w:numPr>
      </w:pPr>
      <w:r>
        <w:rPr>
          <w:b/>
          <w:bCs/>
        </w:rPr>
        <w:t xml:space="preserve">Indications historiques dans les références.</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conservent des caractéristiques locales au moment de la mise en relation. Elles ne doivent pas être interprétées comme l’état actuel.</w:t>
      </w:r>
    </w:p>
    <w:p>
      <w:pPr>
        <w:pStyle w:val="Compact"/>
        <w:numPr>
          <w:ilvl w:val="0"/>
          <w:numId w:val="1019"/>
        </w:numPr>
      </w:pPr>
      <w:r>
        <w:rPr>
          <w:b/>
          <w:bCs/>
        </w:rPr>
        <w:t xml:space="preserve">Transmission et accès.</w:t>
      </w:r>
      <w:r>
        <w:t xml:space="preserve"> </w:t>
      </w:r>
      <w:r>
        <w:t xml:space="preserve">Lorsque des données sont échangées selon la présente norme avant d’être publiques, les précautions usuelles s’imposent : transport chiffré, accès réservé aux personnes autorisées, protection contre toute modification pendant la transmission.</w:t>
      </w:r>
    </w:p>
    <w:p>
      <w:pPr>
        <w:pStyle w:val="Compact"/>
        <w:numPr>
          <w:ilvl w:val="0"/>
          <w:numId w:val="1019"/>
        </w:numPr>
      </w:pPr>
      <w:r>
        <w:rPr>
          <w:b/>
          <w:bCs/>
        </w:rPr>
        <w:t xml:space="preserve">Traitement de données provenant de tiers.</w:t>
      </w:r>
      <w:r>
        <w:t xml:space="preserve"> </w:t>
      </w:r>
      <w:r>
        <w:t xml:space="preserve">Avant tout traitement ultérieur d’une livraison, une validation par rapport au schéma est effectuée. Les contenus transmis dans des champs de texte libre sont échappés avant l’affichage.</w:t>
      </w:r>
    </w:p>
    <w:p>
      <w:r>
        <w:br w:type="page"/>
      </w:r>
    </w:p>
    <w:bookmarkEnd w:id="335"/>
    <w:bookmarkStart w:id="336" w:name="X503ce9815446e507000e4d0fc7e002781a5572b"/>
    <w:p>
      <w:pPr>
        <w:pStyle w:val="berschrift1"/>
      </w:pPr>
      <w:r>
        <w:t xml:space="preserve">Exclusion de responsabilité – droits de tiers</w:t>
      </w:r>
    </w:p>
    <w:p>
      <w:pPr>
        <w:pStyle w:val="FirstParagraph"/>
      </w:pPr>
      <w:r>
        <w:t xml:space="preserve">Les normes élaborées par l’Association eCH et mises gratuitement à la disposition des utilisatrices et utilisateurs ainsi que les normes de tiers adoptées, ont seulement valeur de recommandations. L’Association eCH ne peut en aucun cas être tenue pour responsable des décisions ou mesures prises par une utilisatrice ou un utilisateur sur la base des documents qu’elle met à disposition. L’utilisatrice ou utilisateur est tenu(e) d’étudier attentivement les documents avant de les mettre en application et au besoin de procéder aux consultations appropriées. Les normes eCH ne remplacent en aucun cas les consultations techniques, organisationnelles ou juridiques appropriées dans un cas concret.</w:t>
      </w:r>
    </w:p>
    <w:p>
      <w:pPr>
        <w:pStyle w:val="Textkrper"/>
      </w:pPr>
      <w:r>
        <w:t xml:space="preserve">Les documents, méthodes, normes, procédés ou produits référencés dans les normes eCH peuvent le cas échéant être protégés par des dispositions légales sur les marques, les droits d’auteur ou les brevets. L’obtention des autorisations nécessaires auprès des personnes ou organisations détentrices des droits relève de la seule responsabilité de l’utilisatrice ou de l’utilisateur.</w:t>
      </w:r>
    </w:p>
    <w:p>
      <w:pPr>
        <w:pStyle w:val="Textkrper"/>
      </w:pPr>
      <w:r>
        <w:t xml:space="preserve">Bien que l’Association eCH mette tout en œuvre pour assurer la qualité des normes qu’elle publie, elle ne peut fournir aucune assurance ou garantie quant à l’absence d’erreur, l’actualité, l’exhaustivité et l’exactitude des documents et informations mis à disposition. La teneur des normes eCH peut être modifiée à tout moment sans préavis.</w:t>
      </w:r>
    </w:p>
    <w:p>
      <w:pPr>
        <w:pStyle w:val="Textkrper"/>
      </w:pPr>
      <w:r>
        <w:t xml:space="preserve">Toute responsabilité relative à des dommages que l’utilisatrice ou l’utilisateur pourrait subir par suite de l’utilisation des normes eCH est exclue dans les limites des règlementations applicables.</w:t>
      </w:r>
    </w:p>
    <w:p>
      <w:r>
        <w:br w:type="page"/>
      </w:r>
    </w:p>
    <w:bookmarkEnd w:id="336"/>
    <w:bookmarkStart w:id="358"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Start w:id="337" w:name="annexe-a-références-et-bibliographie"/>
    <w:p>
      <w:pPr>
        <w:pStyle w:val="Anhangberschrift"/>
      </w:pPr>
      <w:r>
        <w:t xml:space="preserve">Annexe A – Références et bibliographie</w:t>
      </w:r>
    </w:p>
    <w:bookmarkEnd w:id="337"/>
    <w:p>
      <w:pPr>
        <w:pStyle w:val="Textkrper"/>
      </w:pPr>
      <w:r>
        <w:t xml:space="preserve">Lorsqu’une version est indiquée, il s’agit de celle sur la base de laquelle la présente norme a été élaborée.</w:t>
      </w:r>
    </w:p>
    <w:bookmarkStart w:id="338" w:name="X7396f4b7d2ae2a39c8f1ae22fee601846a8c38e"/>
    <w:p>
      <w:pPr>
        <w:pStyle w:val="Anhangberschrift2"/>
      </w:pPr>
      <w:r>
        <w:t xml:space="preserve">Normes du groupe spécialisé « Affaires politiques »</w:t>
      </w:r>
    </w:p>
    <w:bookmarkEnd w:id="338"/>
    <w:p>
      <w:pPr>
        <w:pStyle w:val="Textkrper"/>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3">
              <w:r>
                <w:rPr>
                  <w:rStyle w:val="Hyperlink"/>
                </w:rPr>
                <w:t xml:space="preserve">https://www.ech.ch/de/ech/ech-0297</w:t>
              </w:r>
            </w:hyperlink>
          </w:p>
        </w:tc>
      </w:tr>
    </w:tbl>
    <w:bookmarkStart w:id="344" w:name="autres-normes-ech"/>
    <w:p>
      <w:pPr>
        <w:pStyle w:val="Anhangberschrift2"/>
      </w:pPr>
      <w:r>
        <w:t xml:space="preserve">Autres normes eCH</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4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46">
              <w:r>
                <w:rPr>
                  <w:rStyle w:val="Hyperlink"/>
                </w:rPr>
                <w:t xml:space="preserve">https://www.ech.ch/de/ech/ech-0108/6.0.0</w:t>
              </w:r>
            </w:hyperlink>
          </w:p>
        </w:tc>
      </w:tr>
    </w:tbl>
    <w:bookmarkStart w:id="347" w:name="listes-de-codes-et-autres-sources"/>
    <w:p>
      <w:pPr>
        <w:pStyle w:val="Anhangberschrift2"/>
      </w:pPr>
      <w:r>
        <w:t xml:space="preserve">Listes de codes et autres sources</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5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5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52">
              <w:r>
                <w:rPr>
                  <w:rStyle w:val="Hyperlink"/>
                </w:rPr>
                <w:t xml:space="preserve">https://linkml.io</w:t>
              </w:r>
            </w:hyperlink>
          </w:p>
        </w:tc>
      </w:tr>
    </w:tbl>
    <w:p>
      <w:r>
        <w:br w:type="page"/>
      </w:r>
    </w:p>
    <w:bookmarkStart w:id="353" w:name="annexe-b-collaboration-vérification"/>
    <w:p>
      <w:pPr>
        <w:pStyle w:val="Anhangberschrift"/>
      </w:pPr>
      <w:r>
        <w:t xml:space="preserve">Annexe B – Collaboration &amp; vérification</w:t>
      </w:r>
    </w:p>
    <w:bookmarkEnd w:id="353"/>
    <w:p>
      <w:pPr>
        <w:pStyle w:val="Textkrper"/>
      </w:pPr>
      <w:r>
        <w:t xml:space="preserve">Groupe de spécialistes « Affaires politiques », sous-groupe « Acteurs politiques » :</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Office fédéral de la statistique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Université de Zurich, IPZ</w:t>
            </w:r>
          </w:p>
        </w:tc>
      </w:tr>
      <w:tr>
        <w:tc>
          <w:tcPr/>
          <w:p>
            <w:pPr>
              <w:pStyle w:val="Compact"/>
            </w:pPr>
            <w:r>
              <w:t xml:space="preserve">Daniela Koller</w:t>
            </w:r>
          </w:p>
        </w:tc>
        <w:tc>
          <w:tcPr/>
          <w:p>
            <w:pPr>
              <w:pStyle w:val="Compact"/>
            </w:pPr>
            <w:r>
              <w:t xml:space="preserve">Canton de Thurgovie</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Services du Parlement</w:t>
            </w:r>
          </w:p>
        </w:tc>
      </w:tr>
      <w:tr>
        <w:tc>
          <w:tcPr/>
          <w:p>
            <w:pPr>
              <w:pStyle w:val="Compact"/>
            </w:pPr>
            <w:r>
              <w:t xml:space="preserve">Orhan Saeedi</w:t>
            </w:r>
          </w:p>
        </w:tc>
        <w:tc>
          <w:tcPr/>
          <w:p>
            <w:pPr>
              <w:pStyle w:val="Compact"/>
            </w:pPr>
            <w:r>
              <w:t xml:space="preserve">Canton de Bâle-Ville</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Chancellerie fédérale</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Remarque</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Groupe de spécialistes « Affaires politiques »</w:t>
            </w:r>
          </w:p>
        </w:tc>
        <w:tc>
          <w:tcPr>
            <w:shd w:val="clear" w:color="auto" w:fill="F2F2F2"/>
          </w:tcPr>
          <w:p>
            <w:pPr>
              <w:pStyle w:val="Compact"/>
            </w:pPr>
            <w:r>
              <w:t xml:space="preserve">Dépôt en tant que proposition</w:t>
            </w:r>
          </w:p>
        </w:tc>
      </w:tr>
    </w:tbl>
    <w:bookmarkStart w:id="354" w:name="annexe-c-abréviations-et-glossaire"/>
    <w:p>
      <w:pPr>
        <w:pStyle w:val="Anhangberschrift"/>
      </w:pPr>
      <w:r>
        <w:t xml:space="preserve">Annexe C – Abréviations et glossaire</w:t>
      </w:r>
    </w:p>
    <w:bookmarkEnd w:id="354"/>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IDE</w:t>
            </w:r>
          </w:p>
        </w:tc>
        <w:tc>
          <w:tcPr/>
          <w:p>
            <w:pPr>
              <w:pStyle w:val="Compact"/>
            </w:pPr>
            <w:r>
              <w:t xml:space="preserve">Numéro d’identification des entreprises. Clé univoque d’une entreprise suisse selon l’Office fédéral de la statistique.</w:t>
            </w:r>
          </w:p>
        </w:tc>
      </w:tr>
      <w:tr>
        <w:tc>
          <w:tcPr>
            <w:shd w:val="clear" w:color="auto" w:fill="F2F2F2"/>
          </w:tcPr>
          <w:p>
            <w:pPr>
              <w:pStyle w:val="Compact"/>
            </w:pPr>
            <w:r>
              <w:t xml:space="preserve">I14Y</w:t>
            </w:r>
          </w:p>
        </w:tc>
        <w:tc>
          <w:tcPr>
            <w:shd w:val="clear" w:color="auto" w:fill="F2F2F2"/>
          </w:tcPr>
          <w:p>
            <w:pPr>
              <w:pStyle w:val="Compact"/>
            </w:pPr>
            <w:r>
              <w:t xml:space="preserve">Plateforme d’interopérabilité de l’Office fédéral de la statistique ; source de plusieurs listes de codes.</w:t>
            </w:r>
          </w:p>
        </w:tc>
      </w:tr>
      <w:tr>
        <w:tc>
          <w:tcPr/>
          <w:p>
            <w:pPr>
              <w:pStyle w:val="Compact"/>
            </w:pPr>
            <w:r>
              <w:t xml:space="preserve">IRI</w:t>
            </w:r>
          </w:p>
        </w:tc>
        <w:tc>
          <w:tcPr/>
          <w:p>
            <w:pPr>
              <w:pStyle w:val="Compact"/>
            </w:pPr>
            <w:r>
              <w:t xml:space="preserve">Internationalized Resource Identifier. Extension de l’URI à l’ensemble du jeu de caractères Unicode.</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Sérialisation de données liées en JSON.</w:t>
            </w:r>
          </w:p>
        </w:tc>
      </w:tr>
      <w:tr>
        <w:tc>
          <w:tcPr/>
          <w:p>
            <w:pPr>
              <w:pStyle w:val="Compact"/>
            </w:pPr>
            <w:r>
              <w:t xml:space="preserve">LINDAS</w:t>
            </w:r>
          </w:p>
        </w:tc>
        <w:tc>
          <w:tcPr/>
          <w:p>
            <w:pPr>
              <w:pStyle w:val="Compact"/>
            </w:pPr>
            <w:r>
              <w:t xml:space="preserve">Linked Data Service de l’administration fédérale suisse.</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Langage de modélisation dans lequel la présente norme est définie.</w:t>
            </w:r>
          </w:p>
        </w:tc>
      </w:tr>
      <w:tr>
        <w:tc>
          <w:tcPr/>
          <w:p>
            <w:pPr>
              <w:pStyle w:val="Compact"/>
            </w:pPr>
            <w:r>
              <w:t xml:space="preserve">LPD</w:t>
            </w:r>
          </w:p>
        </w:tc>
        <w:tc>
          <w:tcPr/>
          <w:p>
            <w:pPr>
              <w:pStyle w:val="Compact"/>
            </w:pPr>
            <w:r>
              <w:t xml:space="preserve">Loi fédérale sur la protection des données, en vigueur depuis le 1er septembre 2023.</w:t>
            </w:r>
          </w:p>
        </w:tc>
      </w:tr>
      <w:tr>
        <w:tc>
          <w:tcPr>
            <w:shd w:val="clear" w:color="auto" w:fill="F2F2F2"/>
          </w:tcPr>
          <w:p>
            <w:pPr>
              <w:pStyle w:val="Compact"/>
            </w:pPr>
            <w:r>
              <w:t xml:space="preserve">NOGA</w:t>
            </w:r>
          </w:p>
        </w:tc>
        <w:tc>
          <w:tcPr>
            <w:shd w:val="clear" w:color="auto" w:fill="F2F2F2"/>
          </w:tcPr>
          <w:p>
            <w:pPr>
              <w:pStyle w:val="Compact"/>
            </w:pPr>
            <w:r>
              <w:t xml:space="preserve">Nomenclature générale des activités économiques de l’Office fédéral de la statistique.</w:t>
            </w:r>
          </w:p>
        </w:tc>
      </w:tr>
      <w:tr>
        <w:tc>
          <w:tcPr/>
          <w:p>
            <w:pPr>
              <w:pStyle w:val="Compact"/>
            </w:pPr>
            <w:r>
              <w:t xml:space="preserve">RDF</w:t>
            </w:r>
          </w:p>
        </w:tc>
        <w:tc>
          <w:tcPr/>
          <w:p>
            <w:pPr>
              <w:pStyle w:val="Compact"/>
            </w:pPr>
            <w:r>
              <w:t xml:space="preserve">Resource Description Framework. Modèle de données pour les données liées ; livré ici au format Turtle (.ttl).</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Identifiant univoque d’une ressource.</w:t>
            </w:r>
          </w:p>
        </w:tc>
      </w:tr>
      <w:tr>
        <w:tc>
          <w:tcPr/>
          <w:p>
            <w:pPr>
              <w:pStyle w:val="Compact"/>
            </w:pPr>
            <w:r>
              <w:t xml:space="preserve">XSD</w:t>
            </w:r>
          </w:p>
        </w:tc>
        <w:tc>
          <w:tcPr/>
          <w:p>
            <w:pPr>
              <w:pStyle w:val="Compact"/>
            </w:pPr>
            <w:r>
              <w:t xml:space="preserve">XML Schema Definition. Recommandation du W3C pour la définition de structures de documents XML.</w:t>
            </w:r>
          </w:p>
        </w:tc>
      </w:tr>
    </w:tbl>
    <w:bookmarkStart w:id="355" w:name="X08db86adf07310008ab0bee8ec03524ae40948a"/>
    <w:p>
      <w:pPr>
        <w:pStyle w:val="Anhangberschrift"/>
      </w:pPr>
      <w:r>
        <w:t xml:space="preserve">Annexe D – Modifications par rapport à la version précédente</w:t>
      </w:r>
    </w:p>
    <w:bookmarkEnd w:id="355"/>
    <w:p>
      <w:pPr>
        <w:pStyle w:val="Textkrper"/>
      </w:pPr>
      <w:r>
        <w:t xml:space="preserve">Il s’agit de la première version.</w:t>
      </w:r>
    </w:p>
    <w:p>
      <w:r>
        <w:br w:type="page"/>
      </w:r>
    </w:p>
    <w:bookmarkStart w:id="356" w:name="annexe-e-liste-des-illustrations"/>
    <w:p>
      <w:pPr>
        <w:pStyle w:val="Anhangberschrift"/>
      </w:pPr>
      <w:r>
        <w:t xml:space="preserve">Annexe E – Liste des illustrations</w:t>
      </w:r>
    </w:p>
    <w:bookmarkEnd w:id="356"/>
    <w:p>
      <w:pPr>
        <w:pStyle w:val="Textkrper"/>
      </w:pPr>
      <w:r>
        <w:t xml:space="preserve">Aucune</w:t>
      </w:r>
    </w:p>
    <w:bookmarkStart w:id="357" w:name="annexe-f-liste-des-tableaux"/>
    <w:p>
      <w:pPr>
        <w:pStyle w:val="Anhangberschrift"/>
      </w:pPr>
      <w:r>
        <w:t xml:space="preserve">Annexe F – Liste des tableaux</w:t>
      </w:r>
    </w:p>
    <w:bookmarkEnd w:id="357"/>
    <w:p>
      <w:r>
        <w:fldChar w:fldCharType="begin" w:dirty="true"/>
      </w:r>
      <w:r>
        <w:instrText xml:space="preserve"> TOC \h \z \c "Tableau" </w:instrText>
      </w:r>
      <w:r>
        <w:fldChar w:fldCharType="separate"/>
      </w:r>
      <w:r>
        <w:t>Clic droit &gt; « Mettre à jour les champs » pour générer la liste des tableaux.</w:t>
      </w:r>
      <w:r>
        <w:fldChar w:fldCharType="end"/>
      </w:r>
    </w:p>
    <w:bookmarkEnd w:id="3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2026-09-23T11:52:48Z</dcterms:created>
  <dcterms:modified xsi:type="dcterms:W3CDTF">2026-09-23T11:52:48Z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