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8c38f2b7c08fab7227e329402390309cd591cf8"/>
    <w:p>
      <w:pPr>
        <w:pStyle w:val="berschrift4"/>
      </w:pPr>
      <w:r>
        <w:t xml:space="preserve">Example: Cantonal parliament as a superordinate group</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db28ec376d931403e499391f61b1cb7e53977b7"/>
    <w:p>
      <w:pPr>
        <w:pStyle w:val="berschrift4"/>
      </w:pPr>
      <w:r>
        <w:t xml:space="preserve">Example: State chancellery as the staff unit of the executive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example-executive-council-of-a-canton"/>
    <w:p>
      <w:pPr>
        <w:pStyle w:val="berschrift4"/>
      </w:pPr>
      <w:r>
        <w:t xml:space="preserve">Example: Executive council of a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5"/>
    <w:bookmarkStart w:id="136"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7"/>
    <w:bookmarkStart w:id="138"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appointed by the government to advise the administration on an ongoing basis or to decide in its stead. What sets it apart from a parliamentary committee is not its position in the hierarchy but its composition and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sometimes under a different name (e.g., the federal Competition Commission; the commissions extraparlementaires in the canton of Vaud; the commissions of the government council in the canton of Zurich).</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2"/>
    <w:bookmarkStart w:id="25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3"/>
    <w:bookmarkStart w:id="25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6"/>
    <w:bookmarkStart w:id="25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reused-classes"/>
    <w:p>
      <w:pPr>
        <w:pStyle w:val="berschrift2"/>
      </w:pPr>
      <w:r>
        <w:t xml:space="preserve">Reused Classes</w:t>
      </w:r>
    </w:p>
    <w:bookmarkEnd w:id="259"/>
    <w:bookmarkStart w:id="266"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amples-4"/>
    <w:p>
      <w:pPr>
        <w:pStyle w:val="berschrift3"/>
      </w:pPr>
      <w:r>
        <w:t xml:space="preserve">Examples</w:t>
      </w:r>
    </w:p>
    <w:bookmarkStart w:id="263"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8"/>
    <w:bookmarkEnd w:id="269"/>
    <w:bookmarkStart w:id="272"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0"/>
    <w:bookmarkStart w:id="271"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2026-07-28T12:14:23Z</dcterms:created>
  <dcterms:modified xsi:type="dcterms:W3CDTF">2026-07-28T12:14:23Z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