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84" w:name="anhang-a-referenzen-bibliographie"/>
    <w:p>
      <w:pPr>
        <w:pStyle w:val="berschrift1"/>
      </w:pPr>
      <w:r>
        <w:t xml:space="preserve">Anhang A – Referenzen &amp; Bibliographie</w:t>
      </w:r>
    </w:p>
    <w:bookmarkStart w:id="276"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 gemeinsame Datenelemente</w:t>
            </w:r>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w:t>
            </w:r>
          </w:p>
        </w:tc>
      </w:tr>
      <w:tr>
        <w:tc>
          <w:tcPr/>
          <w:p>
            <w:pPr>
              <w:pStyle w:val="Compact"/>
            </w:pPr>
            <w:r>
              <w:t xml:space="preserve">[eCH-0295]</w:t>
            </w:r>
          </w:p>
        </w:tc>
        <w:tc>
          <w:tcPr/>
          <w:p>
            <w:pPr>
              <w:pStyle w:val="Compact"/>
            </w:pPr>
            <w:r>
              <w:t xml:space="preserve">eCH-0295: Parlamentarische Geschäfte</w:t>
            </w:r>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p>
        </w:tc>
      </w:tr>
      <w:tr>
        <w:tc>
          <w:tcPr/>
          <w:p>
            <w:pPr>
              <w:pStyle w:val="Compact"/>
            </w:pPr>
            <w:r>
              <w:t xml:space="preserve">[eCH-0297]</w:t>
            </w:r>
          </w:p>
        </w:tc>
        <w:tc>
          <w:tcPr/>
          <w:p>
            <w:pPr>
              <w:pStyle w:val="Compact"/>
            </w:pPr>
            <w:r>
              <w:t xml:space="preserve">eCH-0297: Öffentliche Konsultationen</w:t>
            </w:r>
          </w:p>
        </w:tc>
      </w:tr>
    </w:tbl>
    <w:bookmarkEnd w:id="276"/>
    <w:bookmarkStart w:id="277"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p>
        </w:tc>
      </w:tr>
      <w:tr>
        <w:tc>
          <w:tcPr>
            <w:shd w:val="clear" w:color="auto" w:fill="F2F2F2"/>
          </w:tcPr>
          <w:p>
            <w:pPr>
              <w:pStyle w:val="Compact"/>
            </w:pPr>
            <w:r>
              <w:t xml:space="preserve">[eCH-0097]</w:t>
            </w:r>
          </w:p>
        </w:tc>
        <w:tc>
          <w:tcPr>
            <w:shd w:val="clear" w:color="auto" w:fill="F2F2F2"/>
          </w:tcPr>
          <w:p>
            <w:pPr>
              <w:pStyle w:val="Compact"/>
            </w:pPr>
            <w:r>
              <w:t xml:space="preserve">eCH-0097: Datenstandard Unternehmensidentifikation, Version 5.2.0. Format der UID (</w:t>
            </w:r>
            <w:r>
              <w:rPr>
                <w:rStyle w:val="VerbatimChar"/>
              </w:rPr>
              <w:t xml:space="preserve">CHE-XXX.XXX.XXX</w:t>
            </w:r>
            <w:r>
              <w:t xml:space="preserve">) in</w:t>
            </w:r>
            <w:r>
              <w:t xml:space="preserve"> </w:t>
            </w:r>
            <w:r>
              <w:rPr>
                <w:rStyle w:val="VerbatimChar"/>
              </w:rPr>
              <w:t xml:space="preserve">organization_uid</w:t>
            </w:r>
            <w:r>
              <w:t xml:space="preserve">.</w:t>
            </w:r>
          </w:p>
        </w:tc>
      </w:tr>
      <w:tr>
        <w:tc>
          <w:tcPr/>
          <w:p>
            <w:pPr>
              <w:pStyle w:val="Compact"/>
            </w:pPr>
            <w:r>
              <w:t xml:space="preserve">[eCH-0108]</w:t>
            </w:r>
          </w:p>
        </w:tc>
        <w:tc>
          <w:tcPr/>
          <w:p>
            <w:pPr>
              <w:pStyle w:val="Compact"/>
            </w:pPr>
            <w:r>
              <w:t xml:space="preserve">eCH-0108: Datenstandard: Unternehmensstammdaten und Unternehmensregister, Version 6.0.0. Standard, zu dem die Rechtsform-Codeliste in</w:t>
            </w:r>
            <w:r>
              <w:t xml:space="preserve"> </w:t>
            </w:r>
            <w:r>
              <w:rPr>
                <w:rStyle w:val="VerbatimChar"/>
              </w:rPr>
              <w:t xml:space="preserve">LegalFormEnum</w:t>
            </w:r>
            <w:r>
              <w:t xml:space="preserve"> </w:t>
            </w:r>
            <w:r>
              <w:t xml:space="preserve">konform ist.</w:t>
            </w:r>
          </w:p>
        </w:tc>
      </w:tr>
    </w:tbl>
    <w:bookmarkEnd w:id="277"/>
    <w:bookmarkStart w:id="283"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7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79">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1">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82">
              <w:r>
                <w:rPr>
                  <w:rStyle w:val="Hyperlink"/>
                </w:rPr>
                <w:t xml:space="preserve">https://linkml.io</w:t>
              </w:r>
            </w:hyperlink>
          </w:p>
        </w:tc>
      </w:tr>
    </w:tbl>
    <w:bookmarkEnd w:id="283"/>
    <w:bookmarkEnd w:id="28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9"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78"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9"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78"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2026-08-08T18:06:14Z</dcterms:created>
  <dcterms:modified xsi:type="dcterms:W3CDTF">2026-08-08T18:06:14Z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