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classes-utilisées-à-plusieurs-reprises"/>
    <w:p>
      <w:pPr>
        <w:pStyle w:val="berschrift2"/>
      </w:pPr>
      <w:r>
        <w:t xml:space="preserve">Classes utilisées à plusieurs reprises</w:t>
      </w:r>
    </w:p>
    <w:bookmarkEnd w:id="261"/>
    <w:bookmarkStart w:id="268"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2"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emples-4"/>
    <w:p>
      <w:pPr>
        <w:pStyle w:val="berschrift3"/>
      </w:pPr>
      <w:r>
        <w:t xml:space="preserve">Exemples</w:t>
      </w:r>
    </w:p>
    <w:bookmarkStart w:id="265"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69">
        <w:r>
          <w:rPr>
            <w:rStyle w:val="Hyperlink"/>
          </w:rPr>
          <w:t xml:space="preserve">act:AddressTypeEnum</w:t>
        </w:r>
      </w:hyperlink>
    </w:p>
    <w:bookmarkStart w:id="270"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0"/>
    <w:bookmarkEnd w:id="271"/>
    <w:bookmarkStart w:id="274"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2"/>
    <w:bookmarkStart w:id="273"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p>
      <w:r>
        <w:br w:type="page"/>
      </w:r>
    </w:p>
    <w:bookmarkEnd w:id="274"/>
    <w:bookmarkEnd w:id="275"/>
    <w:bookmarkStart w:id="284" w:name="annexe-a-références-et-bibliographie"/>
    <w:p>
      <w:pPr>
        <w:pStyle w:val="berschrift1"/>
      </w:pPr>
      <w:r>
        <w:t xml:space="preserve">Annexe A – Références et bibliographie</w:t>
      </w:r>
    </w:p>
    <w:bookmarkStart w:id="276"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 éléments de données communs</w:t>
            </w:r>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w:t>
            </w:r>
          </w:p>
        </w:tc>
      </w:tr>
      <w:tr>
        <w:tc>
          <w:tcPr/>
          <w:p>
            <w:pPr>
              <w:pStyle w:val="Compact"/>
            </w:pPr>
            <w:r>
              <w:t xml:space="preserve">[eCH-0295]</w:t>
            </w:r>
          </w:p>
        </w:tc>
        <w:tc>
          <w:tcPr/>
          <w:p>
            <w:pPr>
              <w:pStyle w:val="Compact"/>
            </w:pPr>
            <w:r>
              <w:t xml:space="preserve">eCH-0295 : Affaires parlementaires</w:t>
            </w:r>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w:t>
            </w:r>
          </w:p>
        </w:tc>
      </w:tr>
      <w:tr>
        <w:tc>
          <w:tcPr/>
          <w:p>
            <w:pPr>
              <w:pStyle w:val="Compact"/>
            </w:pPr>
            <w:r>
              <w:t xml:space="preserve">[eCH-0297]</w:t>
            </w:r>
          </w:p>
        </w:tc>
        <w:tc>
          <w:tcPr/>
          <w:p>
            <w:pPr>
              <w:pStyle w:val="Compact"/>
            </w:pPr>
            <w:r>
              <w:t xml:space="preserve">eCH-0297 : Consultations publiques</w:t>
            </w:r>
          </w:p>
        </w:tc>
      </w:tr>
    </w:tbl>
    <w:bookmarkEnd w:id="276"/>
    <w:bookmarkStart w:id="277"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w:t>
            </w:r>
          </w:p>
        </w:tc>
      </w:tr>
      <w:tr>
        <w:tc>
          <w:tcPr>
            <w:shd w:val="clear" w:color="auto" w:fill="F2F2F2"/>
          </w:tcPr>
          <w:p>
            <w:pPr>
              <w:pStyle w:val="Compact"/>
            </w:pPr>
            <w:r>
              <w:t xml:space="preserve">[eCH-0097]</w:t>
            </w:r>
          </w:p>
        </w:tc>
        <w:tc>
          <w:tcPr>
            <w:shd w:val="clear" w:color="auto" w:fill="F2F2F2"/>
          </w:tcPr>
          <w:p>
            <w:pPr>
              <w:pStyle w:val="Compact"/>
            </w:pPr>
            <w:r>
              <w:t xml:space="preserve">eCH-0097 : Datenstandard Unternehmensidentifikation, version 5.2.0. Format de l’IDE (</w:t>
            </w:r>
            <w:r>
              <w:rPr>
                <w:rStyle w:val="VerbatimChar"/>
              </w:rPr>
              <w:t xml:space="preserve">CHE-XXX.XXX.XXX</w:t>
            </w:r>
            <w:r>
              <w:t xml:space="preserve">) dans</w:t>
            </w:r>
            <w:r>
              <w:t xml:space="preserve"> </w:t>
            </w:r>
            <w:r>
              <w:rPr>
                <w:rStyle w:val="VerbatimChar"/>
              </w:rPr>
              <w:t xml:space="preserve">organization_uid</w:t>
            </w:r>
            <w:r>
              <w:t xml:space="preserve">.</w:t>
            </w:r>
          </w:p>
        </w:tc>
      </w:tr>
      <w:tr>
        <w:tc>
          <w:tcPr/>
          <w:p>
            <w:pPr>
              <w:pStyle w:val="Compact"/>
            </w:pPr>
            <w:r>
              <w:t xml:space="preserve">[eCH-0108]</w:t>
            </w:r>
          </w:p>
        </w:tc>
        <w:tc>
          <w:tcPr/>
          <w:p>
            <w:pPr>
              <w:pStyle w:val="Compact"/>
            </w:pPr>
            <w:r>
              <w:t xml:space="preserve">eCH-0108 : Datenstandard: Unternehmensstammdaten und Unternehmensregister, version 6.0.0. Norme à laquelle la liste de codes des formes juridiques de</w:t>
            </w:r>
            <w:r>
              <w:t xml:space="preserve"> </w:t>
            </w:r>
            <w:r>
              <w:rPr>
                <w:rStyle w:val="VerbatimChar"/>
              </w:rPr>
              <w:t xml:space="preserve">LegalFormEnum</w:t>
            </w:r>
            <w:r>
              <w:t xml:space="preserve"> </w:t>
            </w:r>
            <w:r>
              <w:t xml:space="preserve">est conforme.</w:t>
            </w:r>
          </w:p>
        </w:tc>
      </w:tr>
    </w:tbl>
    <w:bookmarkEnd w:id="277"/>
    <w:bookmarkStart w:id="283"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7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79">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81">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82">
              <w:r>
                <w:rPr>
                  <w:rStyle w:val="Hyperlink"/>
                </w:rPr>
                <w:t xml:space="preserve">https://linkml.io</w:t>
              </w:r>
            </w:hyperlink>
          </w:p>
        </w:tc>
      </w:tr>
    </w:tbl>
    <w:bookmarkEnd w:id="283"/>
    <w:bookmarkEnd w:id="28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79"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1"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278"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79"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1"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278"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2026-08-08T18:06:19Z</dcterms:created>
  <dcterms:modified xsi:type="dcterms:W3CDTF">2026-08-08T18:06:19Z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