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benennt einerseits die Räte selbst –</w:t>
      </w:r>
      <w:r>
        <w:rPr>
          <w:i/>
          <w:iCs/>
        </w:rPr>
        <w:t xml:space="preserve"> </w:t>
      </w:r>
      <w:r>
        <w:rPr>
          <w:rStyle w:val="VerbatimChar"/>
          <w:i/>
          <w:iCs/>
        </w:rPr>
        <w:t xml:space="preserve">council_legislative</w:t>
      </w:r>
      <w:r>
        <w:rPr>
          <w:i/>
          <w:iCs/>
        </w:rPr>
        <w:t xml:space="preserve"> </w:t>
      </w:r>
      <w:r>
        <w:rPr>
          <w:i/>
          <w:iCs/>
        </w:rPr>
        <w:t xml:space="preserve">das Parlament,</w:t>
      </w:r>
      <w:r>
        <w:rPr>
          <w:i/>
          <w:iCs/>
        </w:rPr>
        <w:t xml:space="preserve"> </w:t>
      </w:r>
      <w:r>
        <w:rPr>
          <w:rStyle w:val="VerbatimChar"/>
          <w:i/>
          <w:iCs/>
        </w:rPr>
        <w:t xml:space="preserve">council_executive</w:t>
      </w:r>
      <w:r>
        <w:rPr>
          <w:i/>
          <w:iCs/>
        </w:rPr>
        <w:t xml:space="preserve"> </w:t>
      </w:r>
      <w:r>
        <w:rPr>
          <w:i/>
          <w:iCs/>
        </w:rPr>
        <w:t xml:space="preserve">die Regierung –, andererseits ihre Organe:</w:t>
      </w:r>
      <w:r>
        <w:rPr>
          <w:i/>
          <w:iCs/>
        </w:rPr>
        <w:t xml:space="preserve"> </w:t>
      </w:r>
      <w:r>
        <w:rPr>
          <w:rStyle w:val="VerbatimChar"/>
          <w:i/>
          <w:iCs/>
        </w:rPr>
        <w:t xml:space="preserve">council_presidency</w:t>
      </w:r>
      <w:r>
        <w:rPr>
          <w:i/>
          <w:iCs/>
        </w:rPr>
        <w:t xml:space="preserve"> </w:t>
      </w:r>
      <w:r>
        <w:rPr>
          <w:i/>
          <w:iCs/>
        </w:rPr>
        <w:t xml:space="preserve">das Präsidium,</w:t>
      </w:r>
      <w:r>
        <w:rPr>
          <w:i/>
          <w:iCs/>
        </w:rPr>
        <w:t xml:space="preserve"> </w:t>
      </w:r>
      <w:r>
        <w:rPr>
          <w:rStyle w:val="VerbatimChar"/>
          <w:i/>
          <w:iCs/>
        </w:rPr>
        <w:t xml:space="preserve">council_bureau</w:t>
      </w:r>
      <w:r>
        <w:rPr>
          <w:i/>
          <w:iCs/>
        </w:rPr>
        <w:t xml:space="preserve"> </w:t>
      </w:r>
      <w:r>
        <w:rPr>
          <w:i/>
          <w:iCs/>
        </w:rPr>
        <w:t xml:space="preserve">das um die Fraktionsvertretung erweiterte Leitungsorgan,</w:t>
      </w:r>
      <w:r>
        <w:rPr>
          <w:i/>
          <w:iCs/>
        </w:rPr>
        <w:t xml:space="preserve"> </w:t>
      </w:r>
      <w:r>
        <w:rPr>
          <w:rStyle w:val="VerbatimChar"/>
          <w:i/>
          <w:iCs/>
        </w:rPr>
        <w:t xml:space="preserve">council_secretariat</w:t>
      </w:r>
      <w:r>
        <w:rPr>
          <w:i/>
          <w:iCs/>
        </w:rPr>
        <w:t xml:space="preserve"> </w:t>
      </w:r>
      <w:r>
        <w:rPr>
          <w:i/>
          <w:iCs/>
        </w:rPr>
        <w:t xml:space="preserve">die Verwaltungseinheit mit Angestellten. Die drei Organwerte unterscheiden nicht, welchem Rat sie dienen: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In der Familie</w:t>
      </w:r>
      <w:r>
        <w:rPr>
          <w:i/>
          <w:iCs/>
        </w:rPr>
        <w:t xml:space="preserve"> </w:t>
      </w:r>
      <w:r>
        <w:rPr>
          <w:rStyle w:val="VerbatimChar"/>
          <w:i/>
          <w:iCs/>
        </w:rPr>
        <w:t xml:space="preserve">committee_</w:t>
      </w:r>
      <w:r>
        <w:rPr>
          <w:i/>
          <w:iCs/>
        </w:rPr>
        <w:t xml:space="preserve"> </w:t>
      </w:r>
      <w:r>
        <w:rPr>
          <w:i/>
          <w:iCs/>
        </w:rPr>
        <w:t xml:space="preserve">ist</w:t>
      </w:r>
      <w:r>
        <w:rPr>
          <w:i/>
          <w:iCs/>
        </w:rPr>
        <w:t xml:space="preserve"> </w:t>
      </w:r>
      <w:r>
        <w:rPr>
          <w:rStyle w:val="VerbatimChar"/>
          <w:i/>
          <w:iCs/>
        </w:rPr>
        <w:t xml:space="preserve">committee</w:t>
      </w:r>
      <w:r>
        <w:rPr>
          <w:i/>
          <w:iCs/>
        </w:rPr>
        <w:t xml:space="preserve"> </w:t>
      </w:r>
      <w:r>
        <w:rPr>
          <w:i/>
          <w:iCs/>
        </w:rPr>
        <w:t xml:space="preserve">der Grundfall der ständigen Kommission,</w:t>
      </w:r>
      <w:r>
        <w:rPr>
          <w:i/>
          <w:iCs/>
        </w:rPr>
        <w:t xml:space="preserve"> </w:t>
      </w:r>
      <w:r>
        <w:rPr>
          <w:rStyle w:val="VerbatimChar"/>
          <w:i/>
          <w:iCs/>
        </w:rPr>
        <w:t xml:space="preserve">committee_ad_hoc</w:t>
      </w:r>
      <w:r>
        <w:rPr>
          <w:i/>
          <w:iCs/>
        </w:rPr>
        <w:t xml:space="preserve"> </w:t>
      </w:r>
      <w:r>
        <w:rPr>
          <w:i/>
          <w:iCs/>
        </w:rPr>
        <w:t xml:space="preserve">und</w:t>
      </w:r>
      <w:r>
        <w:rPr>
          <w:i/>
          <w:iCs/>
        </w:rPr>
        <w:t xml:space="preserve"> </w:t>
      </w:r>
      <w:r>
        <w:rPr>
          <w:rStyle w:val="VerbatimChar"/>
          <w:i/>
          <w:iCs/>
        </w:rPr>
        <w:t xml:space="preserve">committee_extraparliamentary</w:t>
      </w:r>
      <w:r>
        <w:rPr>
          <w:i/>
          <w:iCs/>
        </w:rPr>
        <w:t xml:space="preserve"> </w:t>
      </w:r>
      <w:r>
        <w:rPr>
          <w:i/>
          <w:iCs/>
        </w:rPr>
        <w:t xml:space="preserve">sind dessen Sonderfälle.</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2026-08-08T19:42:08Z</dcterms:created>
  <dcterms:modified xsi:type="dcterms:W3CDTF">2026-08-08T19:42:08Z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