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names the councils themselves on the one hand —</w:t>
      </w:r>
      <w:r>
        <w:rPr>
          <w:i/>
          <w:iCs/>
        </w:rPr>
        <w:t xml:space="preserve"> </w:t>
      </w:r>
      <w:r>
        <w:rPr>
          <w:rStyle w:val="VerbatimChar"/>
          <w:i/>
          <w:iCs/>
        </w:rPr>
        <w:t xml:space="preserve">council_legislative</w:t>
      </w:r>
      <w:r>
        <w:rPr>
          <w:i/>
          <w:iCs/>
        </w:rPr>
        <w:t xml:space="preserve"> </w:t>
      </w:r>
      <w:r>
        <w:rPr>
          <w:i/>
          <w:iCs/>
        </w:rPr>
        <w:t xml:space="preserve">the parliament,</w:t>
      </w:r>
      <w:r>
        <w:rPr>
          <w:i/>
          <w:iCs/>
        </w:rPr>
        <w:t xml:space="preserve"> </w:t>
      </w:r>
      <w:r>
        <w:rPr>
          <w:rStyle w:val="VerbatimChar"/>
          <w:i/>
          <w:iCs/>
        </w:rPr>
        <w:t xml:space="preserve">council_executive</w:t>
      </w:r>
      <w:r>
        <w:rPr>
          <w:i/>
          <w:iCs/>
        </w:rPr>
        <w:t xml:space="preserve"> </w:t>
      </w:r>
      <w:r>
        <w:rPr>
          <w:i/>
          <w:iCs/>
        </w:rPr>
        <w:t xml:space="preserve">the government — and their organs on the other:</w:t>
      </w:r>
      <w:r>
        <w:rPr>
          <w:i/>
          <w:iCs/>
        </w:rPr>
        <w:t xml:space="preserve"> </w:t>
      </w:r>
      <w:r>
        <w:rPr>
          <w:rStyle w:val="VerbatimChar"/>
          <w:i/>
          <w:iCs/>
        </w:rPr>
        <w:t xml:space="preserve">council_presidency</w:t>
      </w:r>
      <w:r>
        <w:rPr>
          <w:i/>
          <w:iCs/>
        </w:rPr>
        <w:t xml:space="preserve"> </w:t>
      </w:r>
      <w:r>
        <w:rPr>
          <w:i/>
          <w:iCs/>
        </w:rPr>
        <w:t xml:space="preserve">the presidency,</w:t>
      </w:r>
      <w:r>
        <w:rPr>
          <w:i/>
          <w:iCs/>
        </w:rPr>
        <w:t xml:space="preserve"> </w:t>
      </w:r>
      <w:r>
        <w:rPr>
          <w:rStyle w:val="VerbatimChar"/>
          <w:i/>
          <w:iCs/>
        </w:rPr>
        <w:t xml:space="preserve">council_bureau</w:t>
      </w:r>
      <w:r>
        <w:rPr>
          <w:i/>
          <w:iCs/>
        </w:rPr>
        <w:t xml:space="preserve"> </w:t>
      </w:r>
      <w:r>
        <w:rPr>
          <w:i/>
          <w:iCs/>
        </w:rPr>
        <w:t xml:space="preserve">the managing body extended by the parliamentary group representation,</w:t>
      </w:r>
      <w:r>
        <w:rPr>
          <w:i/>
          <w:iCs/>
        </w:rPr>
        <w:t xml:space="preserve"> </w:t>
      </w:r>
      <w:r>
        <w:rPr>
          <w:rStyle w:val="VerbatimChar"/>
          <w:i/>
          <w:iCs/>
        </w:rPr>
        <w:t xml:space="preserve">council_secretariat</w:t>
      </w:r>
      <w:r>
        <w:rPr>
          <w:i/>
          <w:iCs/>
        </w:rPr>
        <w:t xml:space="preserve"> </w:t>
      </w:r>
      <w:r>
        <w:rPr>
          <w:i/>
          <w:iCs/>
        </w:rPr>
        <w:t xml:space="preserve">the administrative unit staffed by employees. The three organ values do not distinguish which council they serve: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In the</w:t>
      </w:r>
      <w:r>
        <w:rPr>
          <w:i/>
          <w:iCs/>
        </w:rPr>
        <w:t xml:space="preserve"> </w:t>
      </w:r>
      <w:r>
        <w:rPr>
          <w:rStyle w:val="VerbatimChar"/>
          <w:i/>
          <w:iCs/>
        </w:rPr>
        <w:t xml:space="preserve">committee_</w:t>
      </w:r>
      <w:r>
        <w:rPr>
          <w:i/>
          <w:iCs/>
        </w:rPr>
        <w:t xml:space="preserve"> </w:t>
      </w:r>
      <w:r>
        <w:rPr>
          <w:i/>
          <w:iCs/>
        </w:rPr>
        <w:t xml:space="preserve">family,</w:t>
      </w:r>
      <w:r>
        <w:rPr>
          <w:i/>
          <w:iCs/>
        </w:rPr>
        <w:t xml:space="preserve"> </w:t>
      </w:r>
      <w:r>
        <w:rPr>
          <w:rStyle w:val="VerbatimChar"/>
          <w:i/>
          <w:iCs/>
        </w:rPr>
        <w:t xml:space="preserve">committee</w:t>
      </w:r>
      <w:r>
        <w:rPr>
          <w:i/>
          <w:iCs/>
        </w:rPr>
        <w:t xml:space="preserve"> </w:t>
      </w:r>
      <w:r>
        <w:rPr>
          <w:i/>
          <w:iCs/>
        </w:rPr>
        <w:t xml:space="preserve">is the base case of the standing committee, with</w:t>
      </w:r>
      <w:r>
        <w:rPr>
          <w:i/>
          <w:iCs/>
        </w:rPr>
        <w:t xml:space="preserve"> </w:t>
      </w:r>
      <w:r>
        <w:rPr>
          <w:rStyle w:val="VerbatimChar"/>
          <w:i/>
          <w:iCs/>
        </w:rPr>
        <w:t xml:space="preserve">committee_ad_hoc</w:t>
      </w:r>
      <w:r>
        <w:rPr>
          <w:i/>
          <w:iCs/>
        </w:rPr>
        <w:t xml:space="preserve"> </w:t>
      </w:r>
      <w:r>
        <w:rPr>
          <w:i/>
          <w:iCs/>
        </w:rPr>
        <w:t xml:space="preserve">and</w:t>
      </w:r>
      <w:r>
        <w:rPr>
          <w:i/>
          <w:iCs/>
        </w:rPr>
        <w:t xml:space="preserve"> </w:t>
      </w:r>
      <w:r>
        <w:rPr>
          <w:rStyle w:val="VerbatimChar"/>
          <w:i/>
          <w:iCs/>
        </w:rPr>
        <w:t xml:space="preserve">committee_extraparliamentary</w:t>
      </w:r>
      <w:r>
        <w:rPr>
          <w:i/>
          <w:iCs/>
        </w:rPr>
        <w:t xml:space="preserve"> </w:t>
      </w:r>
      <w:r>
        <w:rPr>
          <w:i/>
          <w:iCs/>
        </w:rPr>
        <w:t xml:space="preserve">as its special cases.</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2026-08-08T19:42:16Z</dcterms:created>
  <dcterms:modified xsi:type="dcterms:W3CDTF">2026-08-08T19:42:16Z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