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Trois règles s’appliquent aux types de groupes et d’organisations politiques.</w:t>
      </w:r>
    </w:p>
    <w:p>
      <w:pPr>
        <w:pStyle w:val="Textkrper"/>
      </w:pPr>
      <w:r>
        <w:rPr>
          <w:i/>
          <w:iCs/>
        </w:rPr>
        <w:t xml:space="preserve">La valeur désigne la fonction politique ; la désignation locale relève du libellé du groupe. Büro, Ratsleitung et Ufficio presidenziale reçoivent donc tous la valeur</w:t>
      </w:r>
      <w:r>
        <w:rPr>
          <w:i/>
          <w:iCs/>
        </w:rPr>
        <w:t xml:space="preserve"> </w:t>
      </w:r>
      <w:r>
        <w:rPr>
          <w:rStyle w:val="VerbatimChar"/>
          <w:i/>
          <w:iCs/>
        </w:rPr>
        <w:t xml:space="preserve">council_bureau</w:t>
      </w:r>
      <w:r>
        <w:rPr>
          <w:i/>
          <w:iCs/>
        </w:rPr>
        <w:t xml:space="preserve">.</w:t>
      </w:r>
    </w:p>
    <w:p>
      <w:pPr>
        <w:pStyle w:val="Textkrper"/>
      </w:pPr>
      <w:r>
        <w:rPr>
          <w:i/>
          <w:iCs/>
        </w:rPr>
        <w:t xml:space="preserve">Les valeurs apparentées partagent un préfixe. La famille</w:t>
      </w:r>
      <w:r>
        <w:rPr>
          <w:i/>
          <w:iCs/>
        </w:rPr>
        <w:t xml:space="preserve"> </w:t>
      </w:r>
      <w:r>
        <w:rPr>
          <w:rStyle w:val="VerbatimChar"/>
          <w:i/>
          <w:iCs/>
        </w:rPr>
        <w:t xml:space="preserve">council_</w:t>
      </w:r>
      <w:r>
        <w:rPr>
          <w:i/>
          <w:iCs/>
        </w:rPr>
        <w:t xml:space="preserve"> </w:t>
      </w:r>
      <w:r>
        <w:rPr>
          <w:i/>
          <w:iCs/>
        </w:rPr>
        <w:t xml:space="preserve">désigne d’une part les conseils eux-mêmes –</w:t>
      </w:r>
      <w:r>
        <w:rPr>
          <w:i/>
          <w:iCs/>
        </w:rPr>
        <w:t xml:space="preserve"> </w:t>
      </w:r>
      <w:r>
        <w:rPr>
          <w:rStyle w:val="VerbatimChar"/>
          <w:i/>
          <w:iCs/>
        </w:rPr>
        <w:t xml:space="preserve">council_legislative</w:t>
      </w:r>
      <w:r>
        <w:rPr>
          <w:i/>
          <w:iCs/>
        </w:rPr>
        <w:t xml:space="preserve"> </w:t>
      </w:r>
      <w:r>
        <w:rPr>
          <w:i/>
          <w:iCs/>
        </w:rPr>
        <w:t xml:space="preserve">le parlement,</w:t>
      </w:r>
      <w:r>
        <w:rPr>
          <w:i/>
          <w:iCs/>
        </w:rPr>
        <w:t xml:space="preserve"> </w:t>
      </w:r>
      <w:r>
        <w:rPr>
          <w:rStyle w:val="VerbatimChar"/>
          <w:i/>
          <w:iCs/>
        </w:rPr>
        <w:t xml:space="preserve">council_executive</w:t>
      </w:r>
      <w:r>
        <w:rPr>
          <w:i/>
          <w:iCs/>
        </w:rPr>
        <w:t xml:space="preserve"> </w:t>
      </w:r>
      <w:r>
        <w:rPr>
          <w:i/>
          <w:iCs/>
        </w:rPr>
        <w:t xml:space="preserve">le gouvernement –, d’autre part leurs organes :</w:t>
      </w:r>
      <w:r>
        <w:rPr>
          <w:i/>
          <w:iCs/>
        </w:rPr>
        <w:t xml:space="preserve"> </w:t>
      </w:r>
      <w:r>
        <w:rPr>
          <w:rStyle w:val="VerbatimChar"/>
          <w:i/>
          <w:iCs/>
        </w:rPr>
        <w:t xml:space="preserve">council_presidency</w:t>
      </w:r>
      <w:r>
        <w:rPr>
          <w:i/>
          <w:iCs/>
        </w:rPr>
        <w:t xml:space="preserve"> </w:t>
      </w:r>
      <w:r>
        <w:rPr>
          <w:i/>
          <w:iCs/>
        </w:rPr>
        <w:t xml:space="preserve">la présidence,</w:t>
      </w:r>
      <w:r>
        <w:rPr>
          <w:i/>
          <w:iCs/>
        </w:rPr>
        <w:t xml:space="preserve"> </w:t>
      </w:r>
      <w:r>
        <w:rPr>
          <w:rStyle w:val="VerbatimChar"/>
          <w:i/>
          <w:iCs/>
        </w:rPr>
        <w:t xml:space="preserve">council_bureau</w:t>
      </w:r>
      <w:r>
        <w:rPr>
          <w:i/>
          <w:iCs/>
        </w:rPr>
        <w:t xml:space="preserve"> </w:t>
      </w:r>
      <w:r>
        <w:rPr>
          <w:i/>
          <w:iCs/>
        </w:rPr>
        <w:t xml:space="preserve">l’organe de direction élargi à la représentation des groupes,</w:t>
      </w:r>
      <w:r>
        <w:rPr>
          <w:i/>
          <w:iCs/>
        </w:rPr>
        <w:t xml:space="preserve"> </w:t>
      </w:r>
      <w:r>
        <w:rPr>
          <w:rStyle w:val="VerbatimChar"/>
          <w:i/>
          <w:iCs/>
        </w:rPr>
        <w:t xml:space="preserve">council_secretariat</w:t>
      </w:r>
      <w:r>
        <w:rPr>
          <w:i/>
          <w:iCs/>
        </w:rPr>
        <w:t xml:space="preserve"> </w:t>
      </w:r>
      <w:r>
        <w:rPr>
          <w:i/>
          <w:iCs/>
        </w:rPr>
        <w:t xml:space="preserve">l’unité administrative composée d’employés. Les trois valeurs d’organe ne distinguent pas le conseil qu’elles servent : une chancellerie d’État et les services du parlement sont tous deux</w:t>
      </w:r>
      <w:r>
        <w:rPr>
          <w:i/>
          <w:iCs/>
        </w:rPr>
        <w:t xml:space="preserve"> </w:t>
      </w:r>
      <w:r>
        <w:rPr>
          <w:rStyle w:val="VerbatimChar"/>
          <w:i/>
          <w:iCs/>
        </w:rPr>
        <w:t xml:space="preserve">council_secretariat</w:t>
      </w:r>
      <w:r>
        <w:rPr>
          <w:i/>
          <w:iCs/>
        </w:rPr>
        <w:t xml:space="preserve">, le rattachement ressortant de</w:t>
      </w:r>
      <w:r>
        <w:rPr>
          <w:i/>
          <w:iCs/>
        </w:rPr>
        <w:t xml:space="preserve"> </w:t>
      </w:r>
      <w:r>
        <w:rPr>
          <w:rStyle w:val="VerbatimChar"/>
          <w:i/>
          <w:iCs/>
        </w:rPr>
        <w:t xml:space="preserve">parent_groups</w:t>
      </w:r>
      <w:r>
        <w:rPr>
          <w:i/>
          <w:iCs/>
        </w:rPr>
        <w:t xml:space="preserve">. Dans la famille</w:t>
      </w:r>
      <w:r>
        <w:rPr>
          <w:i/>
          <w:iCs/>
        </w:rPr>
        <w:t xml:space="preserve"> </w:t>
      </w:r>
      <w:r>
        <w:rPr>
          <w:rStyle w:val="VerbatimChar"/>
          <w:i/>
          <w:iCs/>
        </w:rPr>
        <w:t xml:space="preserve">committee_</w:t>
      </w:r>
      <w:r>
        <w:rPr>
          <w:i/>
          <w:iCs/>
        </w:rPr>
        <w:t xml:space="preserve">,</w:t>
      </w:r>
      <w:r>
        <w:rPr>
          <w:i/>
          <w:iCs/>
        </w:rPr>
        <w:t xml:space="preserve"> </w:t>
      </w:r>
      <w:r>
        <w:rPr>
          <w:rStyle w:val="VerbatimChar"/>
          <w:i/>
          <w:iCs/>
        </w:rPr>
        <w:t xml:space="preserve">committee</w:t>
      </w:r>
      <w:r>
        <w:rPr>
          <w:i/>
          <w:iCs/>
        </w:rPr>
        <w:t xml:space="preserve"> </w:t>
      </w:r>
      <w:r>
        <w:rPr>
          <w:i/>
          <w:iCs/>
        </w:rPr>
        <w:t xml:space="preserve">est le cas de base de la commission permanente,</w:t>
      </w:r>
      <w:r>
        <w:rPr>
          <w:i/>
          <w:iCs/>
        </w:rPr>
        <w:t xml:space="preserve"> </w:t>
      </w:r>
      <w:r>
        <w:rPr>
          <w:rStyle w:val="VerbatimChar"/>
          <w:i/>
          <w:iCs/>
        </w:rPr>
        <w:t xml:space="preserve">committee_ad_hoc</w:t>
      </w:r>
      <w:r>
        <w:rPr>
          <w:i/>
          <w:iCs/>
        </w:rPr>
        <w:t xml:space="preserve"> </w:t>
      </w:r>
      <w:r>
        <w:rPr>
          <w:i/>
          <w:iCs/>
        </w:rPr>
        <w:t xml:space="preserve">et</w:t>
      </w:r>
      <w:r>
        <w:rPr>
          <w:i/>
          <w:iCs/>
        </w:rPr>
        <w:t xml:space="preserve"> </w:t>
      </w:r>
      <w:r>
        <w:rPr>
          <w:rStyle w:val="VerbatimChar"/>
          <w:i/>
          <w:iCs/>
        </w:rPr>
        <w:t xml:space="preserve">committee_extraparliamentary</w:t>
      </w:r>
      <w:r>
        <w:rPr>
          <w:i/>
          <w:iCs/>
        </w:rPr>
        <w:t xml:space="preserve"> </w:t>
      </w:r>
      <w:r>
        <w:rPr>
          <w:i/>
          <w:iCs/>
        </w:rPr>
        <w:t xml:space="preserve">en étant les cas particuliers.</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2026-08-08T19:42:12Z</dcterms:created>
  <dcterms:modified xsi:type="dcterms:W3CDTF">2026-08-08T19:42:12Z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