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980502075c264b9855390199ba170601b8c40d7"/>
    <w:p>
      <w:pPr>
        <w:pStyle w:val="berschrift4"/>
      </w:pPr>
      <w:r>
        <w:t xml:space="preserve">Beispiel: Namensvariante neben dem amtlichen Doppelnamen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00c7cfb48736243fb24a9b70efe0bbe0a54b7b2"/>
    <w:p>
      <w:pPr>
        <w:pStyle w:val="berschrift4"/>
      </w:pPr>
      <w:r>
        <w:t xml:space="preserve">Beispiel: Rufname weicht vom amtlichen Vornamen ab</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5aeaf08e0f315c266d5413536a2fe17b861b403"/>
    <w:p>
      <w:pPr>
        <w:pStyle w:val="berschrift4"/>
      </w:pPr>
      <w:r>
        <w:t xml:space="preserve">Beispiel: Nicht-binäre Geschlechtsangabe mit Beruf und Abschluss</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60d289b231fb6b91cbc88772e6a6d86bf6f9a7"/>
    <w:p>
      <w:pPr>
        <w:pStyle w:val="berschrift4"/>
      </w:pPr>
      <w:r>
        <w:t xml:space="preserve">Beispiel: Gleichnamige Personen über das Label unterscheiden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beispiel-vollständig-erfasste-person"/>
    <w:p>
      <w:pPr>
        <w:pStyle w:val="berschrift4"/>
      </w:pPr>
      <w:r>
        <w:t xml:space="preserve">Beispiel: Vollständig erfasste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8c54453dc103e37207b8286dea97206f25958"/>
    <w:p>
      <w:pPr>
        <w:pStyle w:val="berschrift4"/>
      </w:pPr>
      <w:r>
        <w:t xml:space="preserve">Beispiel: Gleichnamige Personen über das Label unterscheiden (zweite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9c428babe2e7973aa67ebea44cf50a683e54537"/>
    <w:p>
      <w:pPr>
        <w:pStyle w:val="berschrift4"/>
      </w:pPr>
      <w:r>
        <w:t xml:space="preserve">Beispiel: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d5f6a6b9c262f5cd1b868a1fcc4c48dd936e48"/>
    <w:p>
      <w:pPr>
        <w:pStyle w:val="berschrift4"/>
      </w:pPr>
      <w:r>
        <w:t xml:space="preserve">Beispiel: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71"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Verweise sind aber möglich (z. B. eine Fraktion, die auf ihr Parlament verweist). Massgebend ist dabei allein die Über-/Unterordnung: Die Parteien, welche eine Fraktion tragen, sind ihr nicht übergeordnet. Ihr Verhältnis zur Fraktion bleibt im Standard bewusst unabgebildet – es ist keine Hierarchie, und eine tragfähige allgemeine Form dafür gibt es nicht, weil Fraktionen je nach Rat unterschiedlich eng an Parteien gebunden sind. Wo die Zugehörigkeit sichtbar sein muss, tut sie es über die Mitgliedschaften der einzelnen Personen. Der Verweis erfolgt als</w:t>
      </w:r>
      <w:r>
        <w:t xml:space="preserve"> </w:t>
      </w:r>
      <w:r>
        <w:rPr>
          <w:rStyle w:val="VerbatimChar"/>
        </w:rPr>
        <w:t xml:space="preserve">GroupReference</w:t>
      </w:r>
      <w:r>
        <w:t xml:space="preserve"> </w:t>
      </w:r>
      <w:r>
        <w:t xml:space="preserve">– dieselbe Form, mit der eine Mitgliedschaft ihre Gruppe benennt. Dass es sich um eine Über-/Unterordnung handelt, sagt dabei der Slot</w:t>
      </w:r>
      <w:r>
        <w:t xml:space="preserve"> </w:t>
      </w:r>
      <w:r>
        <w:rPr>
          <w:rStyle w:val="VerbatimChar"/>
        </w:rPr>
        <w:t xml:space="preserve">parent_groups</w:t>
      </w:r>
      <w:r>
        <w:t xml:space="preserve"> </w:t>
      </w:r>
      <w:r>
        <w:t xml:space="preserve">selbst; die Referenz trägt nur die Adressierung. Diese kann über die</w:t>
      </w:r>
      <w:r>
        <w:t xml:space="preserve"> </w:t>
      </w:r>
      <w:r>
        <w:rPr>
          <w:rStyle w:val="VerbatimChar"/>
        </w:rPr>
        <w:t xml:space="preserve">local_id</w:t>
      </w:r>
      <w:r>
        <w:t xml:space="preserve"> </w:t>
      </w:r>
      <w:r>
        <w:t xml:space="preserve">erfolgen, wenn die übergeordnete Gruppe Teil derselben Lieferung ist, oder über die</w:t>
      </w:r>
      <w:r>
        <w:t xml:space="preserve"> </w:t>
      </w:r>
      <w:r>
        <w:rPr>
          <w:rStyle w:val="VerbatimChar"/>
        </w:rPr>
        <w:t xml:space="preserve">global_uri</w:t>
      </w:r>
      <w:r>
        <w:t xml:space="preserve">, wenn sie ausserhalb liegt – eine Kantonalpartei kann so auf ihre Bundespartei verweisen, ohne dass diese mitgeliefert werden muss. Sind beide bekannt, werden beide angegeben.</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41"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Bezeichnung der Gruppe mit der Sprache, in der sie publiziert wird. Ist eine Gruppe amtlich in mehreren Sprachen benannt, wird pro Sprache ein Eintrag erfasst.</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der Organisation (Format eCH-0097: CHE-XXX.XXX.XXX) aus dem eidgenössischen UID-Register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mit weiteren Informationen. Wird die Website je Sprache unter einer eigenen Adresse publiziert, wird pro Sprache ein Eintrag erfasst.</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Verweis auf die übergeordneten Gruppen als GroupReference, also angegeben über deren local_id oder deren global_uri. Hierher gehört nur eine echte Über-/Unterordnung: die Mutterpartei einer Kantonalpartei, die Hierarchie in der Exekutive, eine Subkommission unter ihrer Kommission oder eine Fraktion unter ihrem Parlament. (parentGroup wird typischerweise im selben group_type verwendet, typenübergreifende Verknüpfungen sind aber erlaubt, z.B. Fraktion → Parlament.) Die eine Fraktion tragenden Parteien sind ihr nicht übergeordnet und werden hier deshalb nicht angegeben.</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beispiele-2"/>
    <w:p>
      <w:pPr>
        <w:pStyle w:val="berschrift3"/>
      </w:pPr>
      <w:r>
        <w:t xml:space="preserve">Beispiele</w:t>
      </w:r>
    </w:p>
    <w:bookmarkStart w:id="129" w:name="Xd40cf2ee17a9bd8ad20e3447292466069c64b9a"/>
    <w:p>
      <w:pPr>
        <w:pStyle w:val="berschrift4"/>
      </w:pPr>
      <w:r>
        <w:t xml:space="preserve">Beispiel: Fraktion mit Verweis auf das übergeordnete Parlament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08a016c31f068ca9a64995c045b834eb52d1c92"/>
    <w:p>
      <w:pPr>
        <w:pStyle w:val="berschrift4"/>
      </w:pPr>
      <w:r>
        <w:t xml:space="preserve">Beispiel: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4f8a851473288ccc148339a75ab79f1da1a9f64"/>
    <w:p>
      <w:pPr>
        <w:pStyle w:val="berschrift4"/>
      </w:pPr>
      <w:r>
        <w:t xml:space="preserve">Beispiel: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00170ec010657bb5373d9263b9099e3b66616f1"/>
    <w:p>
      <w:pPr>
        <w:pStyle w:val="berschrift4"/>
      </w:pPr>
      <w:r>
        <w:t xml:space="preserve">Beispiel: Zweisprachige Delegation in ein interkantonales Gremium</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d0b9c89f629b69b9ac314eecb1129b8924198ad"/>
    <w:p>
      <w:pPr>
        <w:pStyle w:val="berschrift4"/>
      </w:pPr>
      <w:r>
        <w:t xml:space="preserve">Beispiel: Ausserparlamentarische Kommission mit Entscheidbefugnis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335e90b29cff3ea80e7b832e2b4ada7c3cf3c92"/>
    <w:p>
      <w:pPr>
        <w:pStyle w:val="berschrift4"/>
      </w:pPr>
      <w:r>
        <w:t xml:space="preserve">Beispiel: Kantonalpartei mit Verweis auf die Bundespartei</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0e1fccdabc4a538fd8bff4b6dd625fe52aa89be"/>
    <w:p>
      <w:pPr>
        <w:pStyle w:val="berschrift4"/>
      </w:pPr>
      <w:r>
        <w:t xml:space="preserve">Beispiel: Gemeindeparlament mit räumlicher Referenz</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9d8ef21ee6b943aa3be48d0c405f1c718abc4cd"/>
    <w:p>
      <w:pPr>
        <w:pStyle w:val="berschrift4"/>
      </w:pPr>
      <w:r>
        <w:t xml:space="preserve">Beispiel: Verein mit UID und Rechtsform aus dem Handelsregister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f363aff1823f887b31835fd3a51d3b0a59534d8"/>
    <w:p>
      <w:pPr>
        <w:pStyle w:val="berschrift4"/>
      </w:pPr>
      <w:r>
        <w:t xml:space="preserve">Beispiel: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6ec04c74c3c86e073c3da4afd04ea1e8e936f17"/>
    <w:p>
      <w:pPr>
        <w:pStyle w:val="berschrift4"/>
      </w:pPr>
      <w:r>
        <w:t xml:space="preserve">Beispiel: Kantonalpartei als eigene Gruppe der föderalen Ebene</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45c32d38be483f67e0785c72ce11b1b07ff6240"/>
    <w:p>
      <w:pPr>
        <w:pStyle w:val="berschrift4"/>
      </w:pPr>
      <w:r>
        <w:t xml:space="preserve">Beispiel: Interessengruppe mit dreisprachigem Namen und Kontakt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klasse-grouptype"/>
    <w:p>
      <w:pPr>
        <w:pStyle w:val="berschrift2"/>
      </w:pPr>
      <w:r>
        <w:t xml:space="preserve">Klasse: GroupType</w:t>
      </w:r>
    </w:p>
    <w:p>
      <w:pPr>
        <w:pStyle w:val="FirstParagraph"/>
      </w:pPr>
      <w:r>
        <w:rPr>
          <w:i/>
          <w:iCs/>
        </w:rPr>
        <w:t xml:space="preserve">Art der Gruppe (z.B. Partei, Kommission, Parlament, Departement).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Bezeichnung des Typs, wie ihn die publizierende Stelle verwendet, mit der Sprache, in der sie publiziert wird. Publiziert eine Stelle die Bezeichnung in mehreren Sprachen, wird pro Sprache ein Eintrag erfasst.</w:t>
            </w:r>
          </w:p>
        </w:tc>
      </w:tr>
    </w:tbl>
    <w:bookmarkEnd w:id="142"/>
    <w:bookmarkStart w:id="143"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Für Typen politischer Gruppen und Organisationen gelten drei Regeln.</w:t>
      </w:r>
    </w:p>
    <w:p>
      <w:pPr>
        <w:pStyle w:val="Textkrper"/>
      </w:pPr>
      <w:r>
        <w:rPr>
          <w:i/>
          <w:iCs/>
        </w:rPr>
        <w:t xml:space="preserve">Der Wert benennt die politische Funktion; die örtliche Bezeichnung gehört ins Label der Gruppe. Büro, Ratsleitung und Ufficio presidenziale erhalten deshalb alle den Wert</w:t>
      </w:r>
      <w:r>
        <w:rPr>
          <w:i/>
          <w:iCs/>
        </w:rPr>
        <w:t xml:space="preserve"> </w:t>
      </w:r>
      <w:r>
        <w:rPr>
          <w:rStyle w:val="VerbatimChar"/>
          <w:i/>
          <w:iCs/>
        </w:rPr>
        <w:t xml:space="preserve">council_bureau</w:t>
      </w:r>
      <w:r>
        <w:rPr>
          <w:i/>
          <w:iCs/>
        </w:rPr>
        <w:t xml:space="preserve">.</w:t>
      </w:r>
    </w:p>
    <w:p>
      <w:pPr>
        <w:pStyle w:val="Textkrper"/>
      </w:pPr>
      <w:r>
        <w:rPr>
          <w:i/>
          <w:iCs/>
        </w:rPr>
        <w:t xml:space="preserve">Verwandte Werte teilen ein Präfix. Die Familie</w:t>
      </w:r>
      <w:r>
        <w:rPr>
          <w:i/>
          <w:iCs/>
        </w:rPr>
        <w:t xml:space="preserve"> </w:t>
      </w:r>
      <w:r>
        <w:rPr>
          <w:rStyle w:val="VerbatimChar"/>
          <w:i/>
          <w:iCs/>
        </w:rPr>
        <w:t xml:space="preserve">council_</w:t>
      </w:r>
      <w:r>
        <w:rPr>
          <w:i/>
          <w:iCs/>
        </w:rPr>
        <w:t xml:space="preserve"> </w:t>
      </w:r>
      <w:r>
        <w:rPr>
          <w:i/>
          <w:iCs/>
        </w:rPr>
        <w:t xml:space="preserve">unterscheidet nicht nach Rat: Staatskanzlei und Parlamentsdienste sind beide</w:t>
      </w:r>
      <w:r>
        <w:rPr>
          <w:i/>
          <w:iCs/>
        </w:rPr>
        <w:t xml:space="preserve"> </w:t>
      </w:r>
      <w:r>
        <w:rPr>
          <w:rStyle w:val="VerbatimChar"/>
          <w:i/>
          <w:iCs/>
        </w:rPr>
        <w:t xml:space="preserve">council_secretariat</w:t>
      </w:r>
      <w:r>
        <w:rPr>
          <w:i/>
          <w:iCs/>
        </w:rPr>
        <w:t xml:space="preserve">, die Zugehörigkeit ergibt sich aus</w:t>
      </w:r>
      <w:r>
        <w:rPr>
          <w:i/>
          <w:iCs/>
        </w:rPr>
        <w:t xml:space="preserve"> </w:t>
      </w:r>
      <w:r>
        <w:rPr>
          <w:rStyle w:val="VerbatimChar"/>
          <w:i/>
          <w:iCs/>
        </w:rPr>
        <w:t xml:space="preserve">parent_groups</w:t>
      </w:r>
      <w:r>
        <w:rPr>
          <w:i/>
          <w:iCs/>
        </w:rPr>
        <w:t xml:space="preserve">. Sie gliedert sich in</w:t>
      </w:r>
      <w:r>
        <w:rPr>
          <w:i/>
          <w:iCs/>
        </w:rPr>
        <w:t xml:space="preserve"> </w:t>
      </w:r>
      <w:r>
        <w:rPr>
          <w:rStyle w:val="VerbatimChar"/>
          <w:i/>
          <w:iCs/>
        </w:rPr>
        <w:t xml:space="preserve">council_presidency</w:t>
      </w:r>
      <w:r>
        <w:rPr>
          <w:i/>
          <w:iCs/>
        </w:rPr>
        <w:t xml:space="preserve"> </w:t>
      </w:r>
      <w:r>
        <w:rPr>
          <w:i/>
          <w:iCs/>
        </w:rPr>
        <w:t xml:space="preserve">für das Präsidium,</w:t>
      </w:r>
      <w:r>
        <w:rPr>
          <w:i/>
          <w:iCs/>
        </w:rPr>
        <w:t xml:space="preserve"> </w:t>
      </w:r>
      <w:r>
        <w:rPr>
          <w:rStyle w:val="VerbatimChar"/>
          <w:i/>
          <w:iCs/>
        </w:rPr>
        <w:t xml:space="preserve">council_bureau</w:t>
      </w:r>
      <w:r>
        <w:rPr>
          <w:i/>
          <w:iCs/>
        </w:rPr>
        <w:t xml:space="preserve"> </w:t>
      </w:r>
      <w:r>
        <w:rPr>
          <w:i/>
          <w:iCs/>
        </w:rPr>
        <w:t xml:space="preserve">für das um die Fraktionsvertretung erweiterte Leitungsorgan und</w:t>
      </w:r>
      <w:r>
        <w:rPr>
          <w:i/>
          <w:iCs/>
        </w:rPr>
        <w:t xml:space="preserve"> </w:t>
      </w:r>
      <w:r>
        <w:rPr>
          <w:rStyle w:val="VerbatimChar"/>
          <w:i/>
          <w:iCs/>
        </w:rPr>
        <w:t xml:space="preserve">council_secretariat</w:t>
      </w:r>
      <w:r>
        <w:rPr>
          <w:i/>
          <w:iCs/>
        </w:rPr>
        <w:t xml:space="preserve"> </w:t>
      </w:r>
      <w:r>
        <w:rPr>
          <w:i/>
          <w:iCs/>
        </w:rPr>
        <w:t xml:space="preserve">für die Verwaltungseinheit mit Angestellten. Die Familie</w:t>
      </w:r>
      <w:r>
        <w:rPr>
          <w:i/>
          <w:iCs/>
        </w:rPr>
        <w:t xml:space="preserve"> </w:t>
      </w:r>
      <w:r>
        <w:rPr>
          <w:rStyle w:val="VerbatimChar"/>
          <w:i/>
          <w:iCs/>
        </w:rPr>
        <w:t xml:space="preserve">committee_</w:t>
      </w:r>
      <w:r>
        <w:rPr>
          <w:i/>
          <w:iCs/>
        </w:rPr>
        <w:t xml:space="preserve"> </w:t>
      </w:r>
      <w:r>
        <w:rPr>
          <w:i/>
          <w:iCs/>
        </w:rPr>
        <w:t xml:space="preserve">folgt demselben Muster, mit</w:t>
      </w:r>
      <w:r>
        <w:rPr>
          <w:i/>
          <w:iCs/>
        </w:rPr>
        <w:t xml:space="preserve"> </w:t>
      </w:r>
      <w:r>
        <w:rPr>
          <w:rStyle w:val="VerbatimChar"/>
          <w:i/>
          <w:iCs/>
        </w:rPr>
        <w:t xml:space="preserve">committee</w:t>
      </w:r>
      <w:r>
        <w:rPr>
          <w:i/>
          <w:iCs/>
        </w:rPr>
        <w:t xml:space="preserve"> </w:t>
      </w:r>
      <w:r>
        <w:rPr>
          <w:i/>
          <w:iCs/>
        </w:rPr>
        <w:t xml:space="preserve">als Grundfall.</w:t>
      </w:r>
    </w:p>
    <w:p>
      <w:pPr>
        <w:pStyle w:val="Textkrper"/>
      </w:pPr>
      <w:r>
        <w:rPr>
          <w:i/>
          <w:iCs/>
        </w:rPr>
        <w:t xml:space="preserve">Die Rechtsform gehört nicht in dieses Vokabular, sondern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Anders als ein Rat ist sie kein gewähltes Gremium.</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w:t>
      </w:r>
    </w:p>
    <w:bookmarkStart w:id="174"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72"/>
    <w:bookmarkStart w:id="173"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 Die Bezeichnung wird mit der Sprache erfasst, in der sie publiziert wird; wird sie in mehreren Sprachen publiziert, wird pro Sprache ein Eintrag erfasst.</w:t>
            </w:r>
          </w:p>
        </w:tc>
      </w:tr>
    </w:tbl>
    <w:bookmarkStart w:id="175"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77"/>
    <w:bookmarkEnd w:id="178"/>
    <w:bookmarkEnd w:id="179"/>
    <w:bookmarkStart w:id="182"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URI:</w:t>
      </w:r>
      <w:r>
        <w:t xml:space="preserve"> </w:t>
      </w:r>
      <w:hyperlink ns1:id="rId180">
        <w:r>
          <w:rPr>
            <w:rStyle w:val="Hyperlink"/>
          </w:rPr>
          <w:t xml:space="preserve">act:RoleEnum</w:t>
        </w:r>
      </w:hyperlink>
    </w:p>
    <w:bookmarkStart w:id="181"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81"/>
    <w:bookmarkEnd w:id="182"/>
    <w:bookmarkStart w:id="185"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183"/>
    <w:bookmarkStart w:id="184"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87">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03"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88"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beispiele-3"/>
    <w:p>
      <w:pPr>
        <w:pStyle w:val="berschrift3"/>
      </w:pPr>
      <w:r>
        <w:t xml:space="preserve">Beispiele</w:t>
      </w:r>
    </w:p>
    <w:bookmarkStart w:id="191" w:name="X4c52387661e022dc0c0a006d9419c0f68d7dc2a"/>
    <w:p>
      <w:pPr>
        <w:pStyle w:val="berschrift4"/>
      </w:pPr>
      <w:r>
        <w:t xml:space="preserve">Beispiel: Eigene Gesellschaft, operativ geführt</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ee5cabe9b1499d4ea2a6b06dd99dc0fcdf6fac7"/>
    <w:p>
      <w:pPr>
        <w:pStyle w:val="berschrift4"/>
      </w:pPr>
      <w:r>
        <w:t xml:space="preserve">Beispiel: Unbezahltes Präsidium einer politischen Allianz</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f07139b779934d6d74d826d4a6e67fde361c1b"/>
    <w:p>
      <w:pPr>
        <w:pStyle w:val="berschrift4"/>
      </w:pPr>
      <w:r>
        <w:t xml:space="preserve">Beispiel: Verwaltungsratsmandat in einer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ca9d4d6909acf756ef876d165c18511be7581b2"/>
    <w:p>
      <w:pPr>
        <w:pStyle w:val="berschrift4"/>
      </w:pPr>
      <w:r>
        <w:t xml:space="preserve">Beispiel: Verwaltungsratsmandat in einer Immobiliengesellschaft</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a20699cb50066fced5e143c8c2c3c4f3a3cfbfd"/>
    <w:p>
      <w:pPr>
        <w:pStyle w:val="berschrift4"/>
      </w:pPr>
      <w:r>
        <w:t xml:space="preserve">Beispiel: Mitgliedschaft in einem Branchenverband</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3fcb7308d53ef8996833b4ec234b5ceace7d1e5"/>
    <w:p>
      <w:pPr>
        <w:pStyle w:val="berschrift4"/>
      </w:pPr>
      <w:r>
        <w:t xml:space="preserve">Beispiel: Stiftungsratsmandat mit UID der 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d60d78837ca3f34ef7211c464831e88f1af1c33"/>
    <w:p>
      <w:pPr>
        <w:pStyle w:val="berschrift4"/>
      </w:pPr>
      <w:r>
        <w:t xml:space="preserve">Beispiel: Beiratsmandat ohne Organstellung</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c2d45f75d548c4a1006eeb11efa76dc077808d7"/>
    <w:p>
      <w:pPr>
        <w:pStyle w:val="berschrift4"/>
      </w:pPr>
      <w:r>
        <w:t xml:space="preserve">Beispiel: Ehrenamtliche Mitwirkung im Trägerverein eines Grossprojekts</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65d22dc653f6c88c610a15467c054c68cf422f2"/>
    <w:p>
      <w:pPr>
        <w:pStyle w:val="berschrift4"/>
      </w:pPr>
      <w:r>
        <w:t xml:space="preserve">Beispiel: Präsidium eines Wirtschaftsverbands</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beispiel-präsidium-einer-bundespartei"/>
    <w:p>
      <w:pPr>
        <w:pStyle w:val="berschrift4"/>
      </w:pPr>
      <w:r>
        <w:t xml:space="preserve">Beispiel: Präsidium einer Bundespartei</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b748a8054f6c3a82efc18d35191d2ab2afba3f9"/>
    <w:p>
      <w:pPr>
        <w:pStyle w:val="berschrift4"/>
      </w:pPr>
      <w:r>
        <w:t xml:space="preserve">Beispiel: Verwaltungsratsmandat in einem Technologieunternehmen</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URI:</w:t>
      </w:r>
      <w:r>
        <w:t xml:space="preserve"> </w:t>
      </w:r>
      <w:hyperlink ns1:id="rId204">
        <w:r>
          <w:rPr>
            <w:rStyle w:val="Hyperlink"/>
          </w:rPr>
          <w:t xml:space="preserve">act:InterestTypeEnum</w:t>
        </w:r>
      </w:hyperlink>
    </w:p>
    <w:bookmarkStart w:id="208"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Rechtsformen gemäss der Codeliste des Bundesamts für Statistik auf der I14Y-Plattform, konform zu eCH-0108 (Unternehmensstammdaten und Unternehmensregister). Siehe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5" w:name="geteilte-elemente"/>
    <w:p>
      <w:pPr>
        <w:pStyle w:val="berschrift1"/>
      </w:pPr>
      <w:r>
        <w:t xml:space="preserve">Geteilte Elemente</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End w:id="252"/>
    <w:bookmarkStart w:id="256"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25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bl>
    <w:bookmarkStart w:id="253"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bl>
    <w:bookmarkStart w:id="257" w:name="einschränkungen-5"/>
    <w:p>
      <w:pPr>
        <w:pStyle w:val="berschrift5"/>
      </w:pPr>
      <w:r>
        <w:t xml:space="preserve">Einschränkungen</w:t>
      </w:r>
    </w:p>
    <w:p>
      <w:pPr>
        <w:pStyle w:val="FirstParagraph"/>
      </w:pPr>
      <w:r>
        <w:t xml:space="preserve">Mindestens eines der folgenden Felder muss gesetzt sein:</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1" w:name="mehrfach-benutzte-klassen"/>
    <w:p>
      <w:pPr>
        <w:pStyle w:val="berschrift2"/>
      </w:pPr>
      <w:r>
        <w:t xml:space="preserve">Mehrfach benutzte Klassen</w:t>
      </w:r>
    </w:p>
    <w:bookmarkEnd w:id="261"/>
    <w:bookmarkStart w:id="268" w:name="klasse-address"/>
    <w:p>
      <w:pPr>
        <w:pStyle w:val="berschrift2"/>
      </w:pPr>
      <w:r>
        <w:t xml:space="preserve">Klasse: Address</w:t>
      </w:r>
    </w:p>
    <w:p>
      <w:pPr>
        <w:pStyle w:val="FirstParagraph"/>
      </w:pPr>
      <w:r>
        <w:rPr>
          <w:i/>
          <w:iCs/>
        </w:rPr>
        <w:t xml:space="preserve">Eine Adresse mit einem Typ (z.B. Privatadresse, Geschäftsadresse) und einem Wert.</w:t>
      </w:r>
    </w:p>
    <w:bookmarkStart w:id="263"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62" w:name="einschränkungen-6"/>
    <w:p>
      <w:pPr>
        <w:pStyle w:val="berschrift5"/>
      </w:pPr>
      <w:r>
        <w:t xml:space="preserve">Einschränkungen</w:t>
      </w:r>
    </w:p>
    <w:p>
      <w:pPr>
        <w:pStyle w:val="FirstParagraph"/>
      </w:pPr>
      <w:r>
        <w:t xml:space="preserve">Mindestens eines der folgenden Felder muss gesetzt sein:</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2"/>
    <w:bookmarkEnd w:id="263"/>
    <w:bookmarkStart w:id="264"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4"/>
    <w:bookmarkStart w:id="267" w:name="beispiele-4"/>
    <w:p>
      <w:pPr>
        <w:pStyle w:val="berschrift3"/>
      </w:pPr>
      <w:r>
        <w:t xml:space="preserve">Beispiele</w:t>
      </w:r>
    </w:p>
    <w:bookmarkStart w:id="265" w:name="beispiel-swiss-politicians-beat-jans-1"/>
    <w:p>
      <w:pPr>
        <w:pStyle w:val="berschrift4"/>
      </w:pPr>
      <w:r>
        <w:t xml:space="preserve">Beispiel: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5"/>
    <w:bookmarkStart w:id="266" w:name="Xdd3396eb81566ac3677fa5e225d9254b2530066"/>
    <w:p>
      <w:pPr>
        <w:pStyle w:val="berschrift4"/>
      </w:pPr>
      <w:r>
        <w:t xml:space="preserve">Beispiel: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6"/>
    <w:bookmarkEnd w:id="267"/>
    <w:bookmarkEnd w:id="268"/>
    <w:bookmarkStart w:id="271" w:name="enum-addresstypeenum"/>
    <w:p>
      <w:pPr>
        <w:pStyle w:val="berschrift2"/>
      </w:pPr>
      <w:r>
        <w:t xml:space="preserve">Enum: AddressTypeEnum</w:t>
      </w:r>
    </w:p>
    <w:p>
      <w:pPr>
        <w:pStyle w:val="FirstParagraph"/>
      </w:pPr>
      <w:r>
        <w:rPr>
          <w:i/>
          <w:iCs/>
        </w:rPr>
        <w:t xml:space="preserve">Adresstypen.</w:t>
      </w:r>
    </w:p>
    <w:p>
      <w:pPr>
        <w:pStyle w:val="Textkrper"/>
      </w:pPr>
      <w:r>
        <w:t xml:space="preserve">URI:</w:t>
      </w:r>
      <w:r>
        <w:t xml:space="preserve"> </w:t>
      </w:r>
      <w:hyperlink ns1:id="rId269">
        <w:r>
          <w:rPr>
            <w:rStyle w:val="Hyperlink"/>
          </w:rPr>
          <w:t xml:space="preserve">act:AddressTypeEnum</w:t>
        </w:r>
      </w:hyperlink>
    </w:p>
    <w:bookmarkStart w:id="270"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70"/>
    <w:bookmarkEnd w:id="271"/>
    <w:bookmarkStart w:id="274" w:name="klasse-contact"/>
    <w:p>
      <w:pPr>
        <w:pStyle w:val="berschrift2"/>
      </w:pPr>
      <w:r>
        <w:t xml:space="preserve">Klasse: Contact</w:t>
      </w:r>
    </w:p>
    <w:p>
      <w:pPr>
        <w:pStyle w:val="FirstParagraph"/>
      </w:pPr>
      <w:r>
        <w:rPr>
          <w:i/>
          <w:iCs/>
        </w:rPr>
        <w:t xml:space="preserve">Kontaktinformation einer Person mit Angabe eines Typs (z.B. E-Mail, LinkedIn) und eines Werts.</w:t>
      </w:r>
    </w:p>
    <w:bookmarkStart w:id="272"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72"/>
    <w:bookmarkStart w:id="273"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3"/>
    <w:p>
      <w:r>
        <w:br w:type="page"/>
      </w:r>
    </w:p>
    <w:bookmarkEnd w:id="274"/>
    <w:bookmarkEnd w:id="275"/>
    <w:bookmarkStart w:id="291" w:name="anhang-a-referenzen-bibliographie"/>
    <w:p>
      <w:pPr>
        <w:pStyle w:val="berschrift1"/>
      </w:pPr>
      <w:r>
        <w:t xml:space="preserve">Anhang A – Referenzen &amp; Bibliographie</w:t>
      </w:r>
    </w:p>
    <w:p>
      <w:pPr>
        <w:pStyle w:val="FirstParagraph"/>
      </w:pPr>
      <w:r>
        <w:t xml:space="preserve">Angegeben ist jeweils die Version, gegen die dieser Standard erarbeitet wurde.</w:t>
      </w:r>
    </w:p>
    <w:bookmarkStart w:id="281" w:name="Xdbf62244f6b4f9f16288a703ef5341868a945ae"/>
    <w:p>
      <w:pPr>
        <w:pStyle w:val="berschrift2"/>
      </w:pPr>
      <w:r>
        <w:t xml:space="preserve">Standards der Fachgruppe „Politische Geschäfte”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Metaprozesse zu politischen Geschäften, Version 1.0.0 – gemeinsame Datenelemente:</w:t>
            </w:r>
            <w:r>
              <w:t xml:space="preserve"> </w:t>
            </w:r>
            <w:hyperlink ns1:id="rId276">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Öffentlicher Ratsbetrieb, Version 1.0.0:</w:t>
            </w:r>
            <w:r>
              <w:t xml:space="preserve"> </w:t>
            </w:r>
            <w:hyperlink ns1:id="rId277">
              <w:r>
                <w:rPr>
                  <w:rStyle w:val="Hyperlink"/>
                </w:rPr>
                <w:t xml:space="preserve">https://www.ech.ch/de/ech/ech-0293</w:t>
              </w:r>
            </w:hyperlink>
          </w:p>
        </w:tc>
      </w:tr>
      <w:tr>
        <w:tc>
          <w:tcPr/>
          <w:p>
            <w:pPr>
              <w:pStyle w:val="Compact"/>
            </w:pPr>
            <w:r>
              <w:t xml:space="preserve">[eCH-0295]</w:t>
            </w:r>
          </w:p>
        </w:tc>
        <w:tc>
          <w:tcPr/>
          <w:p>
            <w:pPr>
              <w:pStyle w:val="Compact"/>
            </w:pPr>
            <w:r>
              <w:t xml:space="preserve">eCH-0295: Parlamentarische Geschäfte, Version 1.0.0:</w:t>
            </w:r>
            <w:r>
              <w:t xml:space="preserve"> </w:t>
            </w:r>
            <w:hyperlink ns1:id="rId278">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 Version 1.0.0:</w:t>
            </w:r>
            <w:r>
              <w:t xml:space="preserve"> </w:t>
            </w:r>
            <w:hyperlink ns1:id="rId279">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 Version 1.0.0:</w:t>
            </w:r>
            <w:r>
              <w:t xml:space="preserve"> </w:t>
            </w:r>
            <w:hyperlink ns1:id="rId280">
              <w:r>
                <w:rPr>
                  <w:rStyle w:val="Hyperlink"/>
                </w:rPr>
                <w:t xml:space="preserve">https://www.ech.ch/de/ech/ech-0297</w:t>
              </w:r>
            </w:hyperlink>
          </w:p>
        </w:tc>
      </w:tr>
    </w:tbl>
    <w:bookmarkEnd w:id="281"/>
    <w:bookmarkStart w:id="284" w:name="weitere-ech-standards"/>
    <w:p>
      <w:pPr>
        <w:pStyle w:val="berschrift2"/>
      </w:pPr>
      <w:r>
        <w:t xml:space="preserve">Weitere eCH-Standards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(Genehmigt, 27.07.2023). Grundlage der Namenstypen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[eCH-0097]</w:t>
            </w:r>
          </w:p>
        </w:tc>
        <w:tc>
          <w:tcPr>
            <w:shd w:val="clear" w:color="auto" w:fill="F2F2F2"/>
          </w:tcPr>
          <w:p>
            <w:pPr>
              <w:pStyle w:val="Compact"/>
            </w:pPr>
            <w:r>
              <w:t xml:space="preserve">eCH-0097: Datenstandard Unternehmensidentifikation, Version 5.2.0 (02.07.2021). Struktur der UID (</w:t>
            </w:r>
            <w:r>
              <w:rPr>
                <w:rStyle w:val="VerbatimChar"/>
              </w:rPr>
              <w:t xml:space="preserve">uidStructureType</w:t>
            </w:r>
            <w:r>
              <w:t xml:space="preserve">), verwendet in</w:t>
            </w:r>
            <w:r>
              <w:t xml:space="preserve"> </w:t>
            </w:r>
            <w:r>
              <w:rPr>
                <w:rStyle w:val="VerbatimChar"/>
              </w:rPr>
              <w:t xml:space="preserve">organization_uid</w:t>
            </w:r>
            <w:r>
              <w:t xml:space="preserve">:</w:t>
            </w:r>
            <w:r>
              <w:t xml:space="preserve"> </w:t>
            </w:r>
            <w:hyperlink ns1:id="rId282">
              <w:r>
                <w:rPr>
                  <w:rStyle w:val="Hyperlink"/>
                </w:rPr>
                <w:t xml:space="preserve">https://www.ech.ch/de/ech/ech-0097/5.2.0</w:t>
              </w:r>
            </w:hyperlink>
          </w:p>
        </w:tc>
      </w:tr>
      <w:tr>
        <w:tc>
          <w:tcPr/>
          <w:p>
            <w:pPr>
              <w:pStyle w:val="Compact"/>
            </w:pPr>
            <w:r>
              <w:t xml:space="preserve">[eCH-0108]</w:t>
            </w:r>
          </w:p>
        </w:tc>
        <w:tc>
          <w:tcPr/>
          <w:p>
            <w:pPr>
              <w:pStyle w:val="Compact"/>
            </w:pPr>
            <w:r>
              <w:t xml:space="preserve">eCH-0108: Datenstandard: Unternehmensstammdaten und Unternehmensregister, Version 6.0.0 (Genehmigt, 04.04.2024). Standard, zu dem die Rechtsform-Codeliste in</w:t>
            </w:r>
            <w:r>
              <w:t xml:space="preserve"> </w:t>
            </w:r>
            <w:r>
              <w:rPr>
                <w:rStyle w:val="VerbatimChar"/>
              </w:rPr>
              <w:t xml:space="preserve">LegalFormEnum</w:t>
            </w:r>
            <w:r>
              <w:t xml:space="preserve"> </w:t>
            </w:r>
            <w:r>
              <w:t xml:space="preserve">konform ist; definiert zudem das Austauschformat der UID:</w:t>
            </w:r>
            <w:r>
              <w:t xml:space="preserve"> </w:t>
            </w:r>
            <w:hyperlink ns1:id="rId283">
              <w:r>
                <w:rPr>
                  <w:rStyle w:val="Hyperlink"/>
                </w:rPr>
                <w:t xml:space="preserve">https://www.ech.ch/de/ech/ech-0108/6.0.0</w:t>
              </w:r>
            </w:hyperlink>
          </w:p>
        </w:tc>
      </w:tr>
    </w:tbl>
    <w:bookmarkEnd w:id="284"/>
    <w:bookmarkStart w:id="290"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Interoperabilitätsplattform des Bundesamts für Statistik. Bezugsquelle der Codelisten für Rechtsform (</w:t>
            </w:r>
            <w:r>
              <w:rPr>
                <w:rStyle w:val="VerbatimChar"/>
              </w:rPr>
              <w:t xml:space="preserve">LegalFormEnum</w:t>
            </w:r>
            <w:r>
              <w:t xml:space="preserve">) und Geschlecht (</w:t>
            </w:r>
            <w:r>
              <w:rPr>
                <w:rStyle w:val="VerbatimChar"/>
              </w:rPr>
              <w:t xml:space="preserve">GenderCodeEnum</w:t>
            </w:r>
            <w:r>
              <w:t xml:space="preserve">):</w:t>
            </w:r>
            <w:r>
              <w:t xml:space="preserve"> </w:t>
            </w:r>
            <w:hyperlink ns1:id="rId285">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der Schweizerischen Bundesverwaltung. Identifikatoren der Schweizer Raumeinheiten (Land, Kanton, Bezirk, Gemeinde) für</w:t>
            </w:r>
            <w:r>
              <w:t xml:space="preserve"> </w:t>
            </w:r>
            <w:r>
              <w:rPr>
                <w:rStyle w:val="VerbatimChar"/>
              </w:rPr>
              <w:t xml:space="preserve">spatial</w:t>
            </w:r>
            <w:r>
              <w:t xml:space="preserve"> </w:t>
            </w:r>
            <w:r>
              <w:t xml:space="preserve">und</w:t>
            </w:r>
            <w:r>
              <w:t xml:space="preserve"> </w:t>
            </w:r>
            <w:r>
              <w:rPr>
                <w:rStyle w:val="VerbatimChar"/>
              </w:rPr>
              <w:t xml:space="preserve">ElectoralDistrict</w:t>
            </w:r>
            <w:r>
              <w:t xml:space="preserve">:</w:t>
            </w:r>
            <w:r>
              <w:t xml:space="preserve"> </w:t>
            </w:r>
            <w:hyperlink ns1:id="rId286">
              <w:r>
                <w:rPr>
                  <w:rStyle w:val="Hyperlink"/>
                </w:rPr>
                <w:t xml:space="preserve">https://ld.admin.ch</w:t>
              </w:r>
            </w:hyperlink>
          </w:p>
        </w:tc>
      </w:tr>
      <w:tr>
        <w:tc>
          <w:tcPr/>
          <w:p>
            <w:pPr>
              <w:pStyle w:val="Compact"/>
            </w:pPr>
            <w:r>
              <w:t xml:space="preserve">[NOGA]</w:t>
            </w:r>
          </w:p>
        </w:tc>
        <w:tc>
          <w:tcPr/>
          <w:p>
            <w:pPr>
              <w:pStyle w:val="Compact"/>
            </w:pPr>
            <w:r>
              <w:t xml:space="preserve">Allgemeine Systematik der Wirtschaftszweige des Bundesamts für Statistik. Ermöglicht Auswertungen über die UID referenzierter Organisationen.</w:t>
            </w:r>
          </w:p>
        </w:tc>
      </w:tr>
      <w:tr>
        <w:tc>
          <w:tcPr>
            <w:shd w:val="clear" w:color="auto" w:fill="F2F2F2"/>
          </w:tcPr>
          <w:p>
            <w:pPr>
              <w:pStyle w:val="Compact"/>
            </w:pPr>
            <w:r>
              <w:t xml:space="preserve">[Wikidata]</w:t>
            </w:r>
          </w:p>
        </w:tc>
        <w:tc>
          <w:tcPr>
            <w:shd w:val="clear" w:color="auto" w:fill="F2F2F2"/>
          </w:tcPr>
          <w:p>
            <w:pPr>
              <w:pStyle w:val="Compact"/>
            </w:pPr>
            <w:r>
              <w:t xml:space="preserve">Freie Wissensdatenbank. Entitäts-IRI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87">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Gemeinsames Vokabular für strukturierte Daten. Quelle mehrerer</w:t>
            </w:r>
            <w:r>
              <w:t xml:space="preserve"> </w:t>
            </w:r>
            <w:r>
              <w:rPr>
                <w:rStyle w:val="VerbatimChar"/>
              </w:rPr>
              <w:t xml:space="preserve">slot_uri</w:t>
            </w:r>
            <w:r>
              <w:t xml:space="preserve">-Zuordnungen:</w:t>
            </w:r>
            <w:r>
              <w:t xml:space="preserve"> </w:t>
            </w:r>
            <w:hyperlink ns1:id="rId288">
              <w:r>
                <w:rPr>
                  <w:rStyle w:val="Hyperlink"/>
                </w:rPr>
                <w:t xml:space="preserve">https://schema.org</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289">
              <w:r>
                <w:rPr>
                  <w:rStyle w:val="Hyperlink"/>
                </w:rPr>
                <w:t xml:space="preserve">https://linkml.io</w:t>
              </w:r>
            </w:hyperlink>
          </w:p>
        </w:tc>
      </w:tr>
    </w:tbl>
    <w:bookmarkEnd w:id="290"/>
    <w:bookmarkEnd w:id="291"/>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86" Target="https://ld.admin.ch"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89"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8"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2" Target="https://www.ech.ch/de/ech/ech-0097/5.2.0" TargetMode="External" /><Relationship Type="http://schemas.openxmlformats.org/officeDocument/2006/relationships/hyperlink" Id="rId283" Target="https://www.ech.ch/de/ech/ech-0108/6.0.0" TargetMode="External" /><Relationship Type="http://schemas.openxmlformats.org/officeDocument/2006/relationships/hyperlink" Id="rId276" Target="https://www.ech.ch/de/ech/ech-0292" TargetMode="External" /><Relationship Type="http://schemas.openxmlformats.org/officeDocument/2006/relationships/hyperlink" Id="rId277" Target="https://www.ech.ch/de/ech/ech-0293" TargetMode="External" /><Relationship Type="http://schemas.openxmlformats.org/officeDocument/2006/relationships/hyperlink" Id="rId278" Target="https://www.ech.ch/de/ech/ech-0295" TargetMode="External" /><Relationship Type="http://schemas.openxmlformats.org/officeDocument/2006/relationships/hyperlink" Id="rId279" Target="https://www.ech.ch/de/ech/ech-0296" TargetMode="External" /><Relationship Type="http://schemas.openxmlformats.org/officeDocument/2006/relationships/hyperlink" Id="rId280" Target="https://www.ech.ch/de/ech/ech-0297" TargetMode="External" /><Relationship Type="http://schemas.openxmlformats.org/officeDocument/2006/relationships/hyperlink" Id="rId285"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87"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86" Target="https://ld.admin.ch"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89"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8"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2" Target="https://www.ech.ch/de/ech/ech-0097/5.2.0" TargetMode="External" /><Relationship Type="http://schemas.openxmlformats.org/officeDocument/2006/relationships/hyperlink" Id="rId283" Target="https://www.ech.ch/de/ech/ech-0108/6.0.0" TargetMode="External" /><Relationship Type="http://schemas.openxmlformats.org/officeDocument/2006/relationships/hyperlink" Id="rId276" Target="https://www.ech.ch/de/ech/ech-0292" TargetMode="External" /><Relationship Type="http://schemas.openxmlformats.org/officeDocument/2006/relationships/hyperlink" Id="rId277" Target="https://www.ech.ch/de/ech/ech-0293" TargetMode="External" /><Relationship Type="http://schemas.openxmlformats.org/officeDocument/2006/relationships/hyperlink" Id="rId278" Target="https://www.ech.ch/de/ech/ech-0295" TargetMode="External" /><Relationship Type="http://schemas.openxmlformats.org/officeDocument/2006/relationships/hyperlink" Id="rId279" Target="https://www.ech.ch/de/ech/ech-0296" TargetMode="External" /><Relationship Type="http://schemas.openxmlformats.org/officeDocument/2006/relationships/hyperlink" Id="rId280" Target="https://www.ech.ch/de/ech/ech-0297" TargetMode="External" /><Relationship Type="http://schemas.openxmlformats.org/officeDocument/2006/relationships/hyperlink" Id="rId285"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87"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2026-08-08T18:16:30Z</dcterms:created>
  <dcterms:modified xsi:type="dcterms:W3CDTF">2026-08-08T18:16:30Z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