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PersonOfficialName</w:t>
            </w:r>
          </w:p>
        </w:tc>
        <w:tc>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Sprachcode im ISO 639-1 Format (zwei Kleinbuchstaben, z.B.</w:t>
            </w:r>
            <w:r>
              <w:t xml:space="preserve">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male</w:t>
            </w:r>
          </w:p>
        </w:tc>
        <w:tc>
          <w:tcPr/>
          <w:p>
            <w:pPr>
              <w:pStyle w:val="Compact"/>
              <w:jc w:val="left"/>
            </w:pPr>
            <w:r>
              <w:t xml:space="preserve">Männlich.</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Weiblich.</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5"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1"/>
    <w:bookmarkStart w:id="62"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beispiele-1"/>
    <w:p>
      <w:pPr>
        <w:pStyle w:val="berschrift3"/>
      </w:pPr>
      <w:r>
        <w:t xml:space="preserve">Beispiele</w:t>
      </w:r>
    </w:p>
    <w:bookmarkStart w:id="63"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6"/>
    <w:bookmarkStart w:id="67"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10</w:t>
            </w:r>
          </w:p>
        </w:tc>
        <w:tc>
          <w:tcPr/>
          <w:p>
            <w:pPr>
              <w:pStyle w:val="Compact"/>
              <w:jc w:val="left"/>
            </w:pPr>
            <w:r>
              <w:t xml:space="preserve">Maximal obligatorische Schule.</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Keine Ausbildung.</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Obligatorische Schule besucht, aber nicht abgeschlossen.</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Obligatorische Schule.</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1-jährige Ausbildung / Brückenangebot.</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Sekundarstufe II.</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Sekundarstufe II - Berufsbildung.</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2-jährige Berufslehre im Betrieb (EBA) / Anlehre.</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2-jährige Berufsschule / Handelsschule.</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3- bis 4-jährige Berufslehre im Betrieb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3- bis 4-jährige Berufsschule / Handelsschule.</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Sekundarstufe II - Allgemeinbildung.</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Fachmittelschule / Diplommittelschule.</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2-jährige Fachmittelschule / Diplommittelschule.</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3-jährige Fachmittelschule / Diplommittelschule.</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Gymnasiale Maturität / Lehrkräfteseminar.</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Gymnasiale Maturität.</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Lehrkräfteseminar.</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Berufs- oder Fachmaturität.</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Berufsmaturität.</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Fachmaturität.</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Tertiärstufe.</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Höhere Berufsbildung.</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Berufsprüfung mit eidg. Fachausweis.</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Höhere Fachprüfung mit eidg. Diplom / Meisterdiplom.</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Höhere Fachschule.</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Höhere Fachschule (HF) 2 Jahre Voll- oder 3 Jahre Teilzeitstudium.</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Höhere Fachschule (HF) 3 Jahre Voll- oder 4 Jahre Teilzeitstudium.</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Hochschule.</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Fachhochschule (inklusive Diplom FH).</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pädagogische Hochschule (inklusive Diplom PH).</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Universität, ETH.</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Fachhochschule.</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pädagogische Hochschule.</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Doktorat /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2"/>
    <w:bookmarkEnd w:id="113"/>
    <w:bookmarkStart w:id="118"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4"/>
    <w:bookmarkStart w:id="115"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beispiele-2"/>
    <w:p>
      <w:pPr>
        <w:pStyle w:val="berschrift3"/>
      </w:pPr>
      <w:r>
        <w:t xml:space="preserve">Beispiele</w:t>
      </w:r>
    </w:p>
    <w:bookmarkStart w:id="116"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party</w:t>
            </w:r>
          </w:p>
        </w:tc>
        <w:tc>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Wahlliste (kann Teil einer Partei sein oder unabhängig).</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Ad-hoc-Arbeitsgruppe, typischerweise mit begrenzter Laufzeit.</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Parlamentsfraktion.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Parlamentsbüro.</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Präsidium des Parlaments.</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Departement.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Amt.</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Interessengruppe aus der Zivilgesellschaft.</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Parlamentsdienste.</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Verein.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Petitionsträger.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Anderer Gruppentyp, nicht durch Standardkategorien abgedeckt.</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End w:id="154"/>
    <w:bookmarkStart w:id="155"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member</w:t>
            </w:r>
          </w:p>
        </w:tc>
        <w:tc>
          <w:tcPr/>
          <w:p>
            <w:pPr>
              <w:pStyle w:val="Compact"/>
              <w:jc w:val="left"/>
            </w:pPr>
            <w:r>
              <w:t xml:space="preserve">Gewöhnliches Mitglied (Standard).</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Präsident oder Vorsitzender der Gruppe.</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Stellvertreter / Vize.</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beispiele-3"/>
    <w:p>
      <w:pPr>
        <w:pStyle w:val="berschrift3"/>
      </w:pPr>
      <w:r>
        <w:t xml:space="preserve">Beispiele</w:t>
      </w:r>
    </w:p>
    <w:bookmarkStart w:id="164"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professional_activity</w:t>
            </w:r>
          </w:p>
        </w:tc>
        <w:tc>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0101</w:t>
            </w:r>
          </w:p>
        </w:tc>
        <w:tc>
          <w:tcPr/>
          <w:p>
            <w:pPr>
              <w:pStyle w:val="Compact"/>
              <w:jc w:val="left"/>
            </w:pPr>
            <w:r>
              <w:t xml:space="preserve">Einzelunternehmen.</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Kollektivgesellschaft (KlG).</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Kommanditgesellschaft (KmG).</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Kommanditaktiengesellschaft (KmAG).</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Aktiengesellschaft (AG).</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Gesellschaft mit beschränkter Haftung (GmbH).</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Genossenschaft.</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Verein.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Stiftung.</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Zweigniederlassung eines ausländischen Unternehmens.</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Besondere Rechtsform.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Kommanditgesellschaft für kollektive Kapitalanlagen (KmGK).</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Investmentgesellschaft mit variablem Kapital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Investmentgesellschaft mit festem Kapital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Institut des öffentlichen Rechts.</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Nichtkaufmännische Prokura.</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Haupt von Gemeinderschaft.</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Zweigniederlassung.</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Verwaltungseinheit des Bundes.</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Verwaltungseinheit des Kantons.</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Verwaltungseinheit des Bezirks.</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Verwaltungseinheit der Gemeinde.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Andere öffentlich-rechtliche Verwaltungseinheit.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Einrichtung des öffentlichen Rechts des Bundes.</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Einrichtung des öffentlichen Rechts des Kantons.</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Einrichtung des öffentlichen Rechts des Bezirks.</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Einrichtung des öffentlichen Rechts der Gemeinde.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Andere Einrichtung des öffentlichen Rechts.</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Einfache Gesellschaft.</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Ausländisches öffentliches Unternehmen.</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Ausländische öffentliche Verwaltung.</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Internationale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Übrige Genossenschaft.</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Fonds.</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Ausländisches Unternehmen.</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Rechtsform unbestimmt oder unbekannt.</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klasse-personreference"/>
    <w:p>
      <w:pPr>
        <w:pStyle w:val="berschrift2"/>
      </w:pPr>
      <w:r>
        <w:t xml:space="preserve">Klasse: PersonReference</w:t>
      </w:r>
    </w:p>
    <w:p>
      <w:pPr>
        <w:pStyle w:val="FirstParagraph"/>
      </w:pPr>
      <w:r>
        <w:rPr>
          <w:iCs/>
          <w:i/>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Obligatorischer Kurzname zur Identifikation der Person innerhalb der Organisation (z.B. mit Geburtsjahr zur Unterscheidung von Personen mit gleichem Namen).</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des Gremiums zum Zeitpunkt der Verknüpfung.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6"/>
    <w:bookmarkStart w:id="227"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klasse-groupreference"/>
    <w:p>
      <w:pPr>
        <w:pStyle w:val="berschrift2"/>
      </w:pPr>
      <w:r>
        <w:t xml:space="preserve">Klasse: GroupReference</w:t>
      </w:r>
    </w:p>
    <w:p>
      <w:pPr>
        <w:pStyle w:val="FirstParagraph"/>
      </w:pPr>
      <w:r>
        <w:rPr>
          <w:iCs/>
          <w:i/>
        </w:rPr>
        <w:t xml:space="preserve">Leichtgewichtige Referenz auf eine Gruppe mit den wichtigsten Identifikationsmerkmalen zum Zeitpunkt der Verknüpfung.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Ort.</w:t>
            </w:r>
          </w:p>
        </w:tc>
      </w:tr>
    </w:tbl>
    <w:bookmarkEnd w:id="233"/>
    <w:bookmarkStart w:id="234"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beispiele-4"/>
    <w:p>
      <w:pPr>
        <w:pStyle w:val="berschrift3"/>
      </w:pPr>
      <w:r>
        <w:t xml:space="preserve">Beispiele</w:t>
      </w:r>
    </w:p>
    <w:bookmarkStart w:id="235"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privateAddress</w:t>
            </w:r>
          </w:p>
        </w:tc>
        <w:tc>
          <w:tcPr/>
          <w:p>
            <w:pPr>
              <w:pStyle w:val="Compact"/>
              <w:jc w:val="left"/>
            </w:pPr>
            <w:r>
              <w:t xml:space="preserve">Privatadresse.</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Geschäftsadresse.</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Lokaladresse.</w:t>
            </w:r>
          </w:p>
        </w:tc>
      </w:tr>
      <w:tr>
        <w:tc>
          <w:tcPr/>
          <w:p>
            <w:pPr>
              <w:pStyle w:val="Compact"/>
            </w:pPr>
          </w:p>
        </w:tc>
        <w:tc>
          <w:tcPr/>
          <w:p>
            <w:pPr>
              <w:pStyle w:val="Compact"/>
            </w:pPr>
          </w:p>
        </w:tc>
      </w:tr>
    </w:tbl>
    <w:bookmarkEnd w:id="239"/>
    <w:bookmarkEnd w:id="240"/>
    <w:bookmarkStart w:id="243"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bl>
    <w:bookmarkEnd w:id="241"/>
    <w:bookmarkStart w:id="242"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StyleRowBandSize w:val="1"/>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tblStylePr w:type="band1Horz">
      <w:tcPr>
        <w:shd w:color="auto" w:fill="F2F2F2" w:val="clear"/>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2026-07-17T13:28:17Z</dcterms:created>
  <dcterms:modified xsi:type="dcterms:W3CDTF">2026-07-17T13:28:17Z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