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Acteurs</w:t>
      </w:r>
      <w:r>
        <w:t xml:space="preserve"> </w:t>
      </w:r>
      <w:r>
        <w:t xml:space="preserve">politiques</w:t>
      </w:r>
      <w:r>
        <w:t xml:space="preserve"> </w:t>
      </w:r>
      <w:r>
        <w:t xml:space="preserve">:</w:t>
      </w:r>
      <w:r>
        <w:t xml:space="preserve"> </w:t>
      </w:r>
      <w:r>
        <w:t xml:space="preserve">personnes,</w:t>
      </w:r>
      <w:r>
        <w:t xml:space="preserve"> </w:t>
      </w:r>
      <w:r>
        <w:t xml:space="preserve">groupes</w:t>
      </w:r>
      <w:r>
        <w:t xml:space="preserve"> </w:t>
      </w:r>
      <w:r>
        <w:t xml:space="preserve">et</w:t>
      </w:r>
      <w:r>
        <w:t xml:space="preserve"> </w:t>
      </w:r>
      <w:r>
        <w:t xml:space="preserve">organes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Nom</w:t>
            </w:r>
          </w:p>
        </w:tc>
        <w:tc>
          <w:tcPr/>
          <w:p>
            <w:pPr>
              <w:pStyle w:val="Compact"/>
              <w:jc w:val="left"/>
            </w:pPr>
            <w:r>
              <w:rPr>
                <w:bCs/>
                <w:b/>
              </w:rPr>
              <w:t xml:space="preserve">Acteurs politiques : personnes, groupes et organes</w:t>
            </w:r>
          </w:p>
        </w:tc>
      </w:tr>
      <w:tr>
        <w:tc>
          <w:tcPr/>
          <w:p>
            <w:pPr>
              <w:pStyle w:val="Compact"/>
              <w:jc w:val="left"/>
            </w:pPr>
            <w:r>
              <w:rPr>
                <w:bCs/>
                <w:b/>
              </w:rPr>
              <w:t xml:space="preserve">Numéro eCH</w:t>
            </w:r>
          </w:p>
        </w:tc>
        <w:tc>
          <w:tcPr/>
          <w:p>
            <w:pPr>
              <w:pStyle w:val="Compact"/>
              <w:jc w:val="left"/>
            </w:pPr>
            <w:r>
              <w:t xml:space="preserve">eCH-0294</w:t>
            </w:r>
          </w:p>
        </w:tc>
      </w:tr>
      <w:tr>
        <w:tc>
          <w:tcPr/>
          <w:p>
            <w:pPr>
              <w:pStyle w:val="Compact"/>
              <w:jc w:val="left"/>
            </w:pPr>
            <w:r>
              <w:rPr>
                <w:bCs/>
                <w:b/>
              </w:rPr>
              <w:t xml:space="preserve">Catégorie</w:t>
            </w:r>
          </w:p>
        </w:tc>
        <w:tc>
          <w:tcPr/>
          <w:p>
            <w:pPr>
              <w:pStyle w:val="Compact"/>
              <w:jc w:val="left"/>
            </w:pPr>
            <w:r>
              <w:t xml:space="preserve">Projet</w:t>
            </w:r>
          </w:p>
        </w:tc>
      </w:tr>
      <w:tr>
        <w:tc>
          <w:tcPr/>
          <w:p>
            <w:pPr>
              <w:pStyle w:val="Compact"/>
              <w:jc w:val="left"/>
            </w:pPr>
            <w:r>
              <w:rPr>
                <w:bCs/>
                <w:b/>
              </w:rPr>
              <w:t xml:space="preserve">Degré de maturité</w:t>
            </w:r>
          </w:p>
        </w:tc>
        <w:tc>
          <w:tcPr/>
          <w:p>
            <w:pPr>
              <w:pStyle w:val="Compact"/>
              <w:jc w:val="left"/>
            </w:pPr>
            <w:r>
              <w:t xml:space="preserve">Revue interne du groupe spécialisé</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Statut</w:t>
            </w:r>
          </w:p>
        </w:tc>
        <w:tc>
          <w:tcPr/>
          <w:p>
            <w:pPr>
              <w:pStyle w:val="Compact"/>
            </w:pPr>
          </w:p>
        </w:tc>
      </w:tr>
      <w:tr>
        <w:tc>
          <w:tcPr/>
          <w:p>
            <w:pPr>
              <w:pStyle w:val="Compact"/>
              <w:jc w:val="left"/>
            </w:pPr>
            <w:r>
              <w:rPr>
                <w:bCs/>
                <w:b/>
              </w:rPr>
              <w:t xml:space="preserve">Décidé le</w:t>
            </w:r>
          </w:p>
        </w:tc>
        <w:tc>
          <w:tcPr/>
          <w:p>
            <w:pPr>
              <w:pStyle w:val="Compact"/>
            </w:pPr>
          </w:p>
        </w:tc>
      </w:tr>
      <w:tr>
        <w:tc>
          <w:tcPr/>
          <w:p>
            <w:pPr>
              <w:pStyle w:val="Compact"/>
              <w:jc w:val="left"/>
            </w:pPr>
            <w:r>
              <w:rPr>
                <w:bCs/>
                <w:b/>
              </w:rPr>
              <w:t xml:space="preserve">Date de publication</w:t>
            </w:r>
          </w:p>
        </w:tc>
        <w:tc>
          <w:tcPr/>
          <w:p>
            <w:pPr>
              <w:pStyle w:val="Compact"/>
            </w:pPr>
          </w:p>
        </w:tc>
      </w:tr>
      <w:tr>
        <w:tc>
          <w:tcPr/>
          <w:p>
            <w:pPr>
              <w:pStyle w:val="Compact"/>
              <w:jc w:val="left"/>
            </w:pPr>
            <w:r>
              <w:rPr>
                <w:bCs/>
                <w:b/>
              </w:rPr>
              <w:t xml:space="preserve">Remplace la version</w:t>
            </w:r>
          </w:p>
        </w:tc>
        <w:tc>
          <w:tcPr/>
          <w:p>
            <w:pPr>
              <w:pStyle w:val="Compact"/>
              <w:jc w:val="left"/>
            </w:pPr>
            <w:r>
              <w:t xml:space="preserve">0.0</w:t>
            </w:r>
          </w:p>
        </w:tc>
      </w:tr>
      <w:tr>
        <w:tc>
          <w:tcPr/>
          <w:p>
            <w:pPr>
              <w:pStyle w:val="Compact"/>
              <w:jc w:val="left"/>
            </w:pPr>
            <w:r>
              <w:rPr>
                <w:bCs/>
                <w:b/>
              </w:rPr>
              <w:t xml:space="preserve">Conditions préalables</w:t>
            </w:r>
          </w:p>
        </w:tc>
        <w:tc>
          <w:tcPr/>
          <w:p>
            <w:pPr>
              <w:pStyle w:val="Compact"/>
              <w:jc w:val="left"/>
            </w:pPr>
            <w:r>
              <w:t xml:space="preserve">eCH-0292 (Éléments de données communs)</w:t>
            </w:r>
          </w:p>
        </w:tc>
      </w:tr>
      <w:tr>
        <w:tc>
          <w:tcPr/>
          <w:p>
            <w:pPr>
              <w:pStyle w:val="Compact"/>
              <w:jc w:val="left"/>
            </w:pPr>
            <w:r>
              <w:rPr>
                <w:bCs/>
                <w:b/>
              </w:rPr>
              <w:t xml:space="preserve">Annexes</w:t>
            </w:r>
          </w:p>
        </w:tc>
        <w:tc>
          <w:tcPr/>
          <w:p>
            <w:pPr>
              <w:pStyle w:val="Compact"/>
              <w:jc w:val="left"/>
            </w:pPr>
            <w:r>
              <w:t xml:space="preserve">-</w:t>
            </w:r>
          </w:p>
        </w:tc>
      </w:tr>
      <w:tr>
        <w:tc>
          <w:tcPr/>
          <w:p>
            <w:pPr>
              <w:pStyle w:val="Compact"/>
              <w:jc w:val="left"/>
            </w:pPr>
            <w:r>
              <w:rPr>
                <w:bCs/>
                <w:b/>
              </w:rPr>
              <w:t xml:space="preserve">Langues</w:t>
            </w:r>
          </w:p>
        </w:tc>
        <w:tc>
          <w:tcPr/>
          <w:p>
            <w:pPr>
              <w:pStyle w:val="Compact"/>
              <w:jc w:val="left"/>
            </w:pPr>
            <w:r>
              <w:t xml:space="preserve">Allemand (original) - Anglais (modèle de données)</w:t>
            </w:r>
          </w:p>
        </w:tc>
      </w:tr>
      <w:tr>
        <w:tc>
          <w:tcPr/>
          <w:p>
            <w:pPr>
              <w:pStyle w:val="Compact"/>
              <w:jc w:val="left"/>
            </w:pPr>
            <w:r>
              <w:rPr>
                <w:bCs/>
                <w:b/>
              </w:rPr>
              <w:t xml:space="preserve">Auteurs</w:t>
            </w:r>
          </w:p>
        </w:tc>
        <w:tc>
          <w:tcPr/>
          <w:p>
            <w:pPr>
              <w:pStyle w:val="Compact"/>
              <w:jc w:val="left"/>
            </w:pPr>
            <w:r>
              <w:t xml:space="preserve">Groupe spécialisé Affaires politiques : Julie Silberstein, Laurence Brandenberger, Daniela Koller, Thomas Roth, Stefan Oderbolz, Fabian Davolio, Orhan Saeedi, Christian Gutknecht, Michael Luggen</w:t>
            </w:r>
          </w:p>
        </w:tc>
      </w:tr>
      <w:tr>
        <w:tc>
          <w:tcPr/>
          <w:p>
            <w:pPr>
              <w:pStyle w:val="Compact"/>
              <w:jc w:val="left"/>
            </w:pPr>
            <w:r>
              <w:rPr>
                <w:bCs/>
                <w:b/>
              </w:rPr>
              <w:t xml:space="preserve">Éditeur / Distribution</w:t>
            </w:r>
          </w:p>
        </w:tc>
        <w:tc>
          <w:tcPr/>
          <w:p>
            <w:pPr>
              <w:pStyle w:val="Compact"/>
              <w:jc w:val="left"/>
            </w:pPr>
            <w:r>
              <w:t xml:space="preserve">Association eCH,</w:t>
            </w:r>
            <w:r>
              <w:t xml:space="preserve"> </w:t>
            </w:r>
            <w:hyperlink r: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numPr>
          <w:ilvl w:val="0"/>
          <w:numId w:val="1001"/>
        </w:numPr>
        <w:pStyle w:val="Compact"/>
      </w:pPr>
      <w:r>
        <w:rPr>
          <w:bCs/>
          <w:b/>
        </w:rPr>
        <w:t xml:space="preserve">eCH-0292 – Éléments de données communs (Meta) :</w:t>
      </w:r>
      <w:r>
        <w:t xml:space="preserve"> </w:t>
      </w:r>
      <w:r>
        <w:t xml:space="preserve">définit les éléments de données transversaux et les métaprocessus sur lesquels reposent les autres normes.</w:t>
      </w:r>
    </w:p>
    <w:p>
      <w:pPr>
        <w:numPr>
          <w:ilvl w:val="0"/>
          <w:numId w:val="1001"/>
        </w:numPr>
        <w:pStyle w:val="Compact"/>
      </w:pPr>
      <w:r>
        <w:rPr>
          <w:bCs/>
          <w:b/>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numPr>
          <w:ilvl w:val="0"/>
          <w:numId w:val="1001"/>
        </w:numPr>
        <w:pStyle w:val="Compact"/>
      </w:pPr>
      <w:r>
        <w:rPr>
          <w:bCs/>
          <w:b/>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numPr>
          <w:ilvl w:val="0"/>
          <w:numId w:val="1001"/>
        </w:numPr>
        <w:pStyle w:val="Compact"/>
      </w:pPr>
      <w:r>
        <w:rPr>
          <w:bCs/>
          <w:b/>
        </w:rPr>
        <w:t xml:space="preserve">eCH-0295 – Affaires parlementaires (Affairs) :</w:t>
      </w:r>
      <w:r>
        <w:t xml:space="preserve"> </w:t>
      </w:r>
      <w:r>
        <w:t xml:space="preserve">décrit le cycle de vie des affaires politiques.</w:t>
      </w:r>
    </w:p>
    <w:p>
      <w:pPr>
        <w:numPr>
          <w:ilvl w:val="0"/>
          <w:numId w:val="1001"/>
        </w:numPr>
        <w:pStyle w:val="Compact"/>
      </w:pPr>
      <w:r>
        <w:rPr>
          <w:bCs/>
          <w:b/>
        </w:rPr>
        <w:t xml:space="preserve">eCH-0296 – Actes législatifs et textes de loi (Laws) :</w:t>
      </w:r>
      <w:r>
        <w:t xml:space="preserve"> </w:t>
      </w:r>
      <w:r>
        <w:t xml:space="preserve">consigne les résultats du processus parlementaire – les lois et actes législatifs adoptés.</w:t>
      </w:r>
    </w:p>
    <w:p>
      <w:pPr>
        <w:numPr>
          <w:ilvl w:val="0"/>
          <w:numId w:val="1001"/>
        </w:numPr>
        <w:pStyle w:val="Compact"/>
      </w:pPr>
      <w:r>
        <w:rPr>
          <w:bCs/>
          <w:b/>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numPr>
          <w:ilvl w:val="0"/>
          <w:numId w:val="1002"/>
        </w:numPr>
        <w:pStyle w:val="Compact"/>
      </w:pPr>
      <w:r>
        <w:rPr>
          <w:bCs/>
          <w:b/>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numPr>
          <w:ilvl w:val="0"/>
          <w:numId w:val="1002"/>
        </w:numPr>
        <w:pStyle w:val="Compact"/>
      </w:pPr>
      <w:r>
        <w:rPr>
          <w:bCs/>
          <w:b/>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numPr>
          <w:ilvl w:val="0"/>
          <w:numId w:val="1003"/>
        </w:numPr>
        <w:pStyle w:val="Compact"/>
      </w:pPr>
      <w:r>
        <w:rPr>
          <w:bCs/>
          <w:b/>
        </w:rPr>
        <w:t xml:space="preserve">Votes et élections :</w:t>
      </w:r>
      <w:r>
        <w:t xml:space="preserve"> </w:t>
      </w:r>
      <w:r>
        <w:t xml:space="preserve">eCH-0293 consigne les votes et élections</w:t>
      </w:r>
      <w:r>
        <w:t xml:space="preserve"> </w:t>
      </w:r>
      <w:r>
        <w:rPr>
          <w:bCs/>
          <w:b/>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numPr>
          <w:ilvl w:val="0"/>
          <w:numId w:val="1003"/>
        </w:numPr>
        <w:pStyle w:val="Compact"/>
      </w:pPr>
      <w:r>
        <w:rPr>
          <w:bCs/>
          <w:b/>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numPr>
          <w:ilvl w:val="0"/>
          <w:numId w:val="1004"/>
        </w:numPr>
        <w:pStyle w:val="Compact"/>
      </w:pPr>
      <w:r>
        <w:rPr>
          <w:bCs/>
          <w:b/>
        </w:rPr>
        <w:t xml:space="preserve">Person</w:t>
      </w:r>
      <w:r>
        <w:t xml:space="preserve"> </w:t>
      </w:r>
      <w:r>
        <w:t xml:space="preserve">– Personnes physiques dans le contexte politique</w:t>
      </w:r>
    </w:p>
    <w:p>
      <w:pPr>
        <w:numPr>
          <w:ilvl w:val="0"/>
          <w:numId w:val="1004"/>
        </w:numPr>
        <w:pStyle w:val="Compact"/>
      </w:pPr>
      <w:r>
        <w:rPr>
          <w:bCs/>
          <w:b/>
        </w:rPr>
        <w:t xml:space="preserve">Group</w:t>
      </w:r>
      <w:r>
        <w:t xml:space="preserve"> </w:t>
      </w:r>
      <w:r>
        <w:t xml:space="preserve">– Organes, partis, groupes parlementaires, conseils, commissions, organisations, etc.</w:t>
      </w:r>
    </w:p>
    <w:p>
      <w:pPr>
        <w:numPr>
          <w:ilvl w:val="0"/>
          <w:numId w:val="1004"/>
        </w:numPr>
        <w:pStyle w:val="Compact"/>
      </w:pPr>
      <w:r>
        <w:rPr>
          <w:bCs/>
          <w:b/>
        </w:rPr>
        <w:t xml:space="preserve">Membership</w:t>
      </w:r>
      <w:r>
        <w:t xml:space="preserve"> </w:t>
      </w:r>
      <w:r>
        <w:t xml:space="preserve">– Lien entre personnes et groupes</w:t>
      </w:r>
    </w:p>
    <w:p>
      <w:pPr>
        <w:numPr>
          <w:ilvl w:val="0"/>
          <w:numId w:val="1004"/>
        </w:numPr>
        <w:pStyle w:val="Compact"/>
      </w:pPr>
      <w:r>
        <w:rPr>
          <w:bCs/>
          <w:b/>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numPr>
          <w:ilvl w:val="0"/>
          <w:numId w:val="1005"/>
        </w:numPr>
        <w:pStyle w:val="Compact"/>
      </w:pPr>
      <w:r>
        <w:rPr>
          <w:bCs/>
          <w:b/>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numPr>
          <w:ilvl w:val="0"/>
          <w:numId w:val="1005"/>
        </w:numPr>
        <w:pStyle w:val="Compact"/>
      </w:pPr>
      <w:r>
        <w:rPr>
          <w:bCs/>
          <w:b/>
        </w:rPr>
        <w:t xml:space="preserve">Nom d’affichage obligatoire (</w:t>
      </w:r>
      <w:r>
        <w:rPr>
          <w:rStyle w:val="VerbatimChar"/>
          <w:bCs/>
          <w:b/>
        </w:rPr>
        <w:t xml:space="preserve">label</w:t>
      </w:r>
      <w:r>
        <w:rPr>
          <w:bCs/>
          <w:b/>
        </w:rPr>
        <w:t xml:space="preserve">) en plus des noms structurés (</w:t>
      </w:r>
      <w:r>
        <w:rPr>
          <w:rStyle w:val="VerbatimChar"/>
          <w:bCs/>
          <w:b/>
        </w:rPr>
        <w:t xml:space="preserve">names</w:t>
      </w:r>
      <w:r>
        <w:rPr>
          <w:bCs/>
          <w:b/>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numPr>
          <w:ilvl w:val="0"/>
          <w:numId w:val="1005"/>
        </w:numPr>
        <w:pStyle w:val="Compact"/>
      </w:pPr>
      <w:r>
        <w:rPr>
          <w:bCs/>
          <w:b/>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numPr>
          <w:ilvl w:val="0"/>
          <w:numId w:val="1005"/>
        </w:numPr>
        <w:pStyle w:val="Compact"/>
      </w:pPr>
      <w:r>
        <w:rPr>
          <w:rStyle w:val="VerbatimChar"/>
          <w:bCs/>
          <w:b/>
        </w:rPr>
        <w:t xml:space="preserve">birth_year</w:t>
      </w:r>
      <w:r>
        <w:rPr>
          <w:bCs/>
          <w:b/>
        </w:rPr>
        <w:t xml:space="preserve"> </w:t>
      </w:r>
      <w:r>
        <w:rPr>
          <w:bCs/>
          <w:b/>
        </w:rPr>
        <w:t xml:space="preserve">comme alternative économe en données à</w:t>
      </w:r>
      <w:r>
        <w:rPr>
          <w:bCs/>
          <w:b/>
        </w:rPr>
        <w:t xml:space="preserve"> </w:t>
      </w:r>
      <w:r>
        <w:rPr>
          <w:rStyle w:val="VerbatimChar"/>
          <w:bCs/>
          <w:b/>
        </w:rPr>
        <w:t xml:space="preserve">birth_date</w:t>
      </w:r>
      <w:r>
        <w:rPr>
          <w:bCs/>
          <w:b/>
        </w:rPr>
        <w:t xml:space="preserve"> </w:t>
      </w:r>
      <w:r>
        <w:rPr>
          <w:bCs/>
          <w:b/>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numPr>
          <w:ilvl w:val="0"/>
          <w:numId w:val="1005"/>
        </w:numPr>
        <w:pStyle w:val="Compact"/>
      </w:pPr>
      <w:r>
        <w:rPr>
          <w:bCs/>
          <w:b/>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numPr>
          <w:ilvl w:val="0"/>
          <w:numId w:val="1005"/>
        </w:numPr>
        <w:pStyle w:val="Compact"/>
      </w:pPr>
      <w:r>
        <w:rPr>
          <w:bCs/>
          <w:b/>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Cs/>
          <w:b/>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Cs/>
          <w:i/>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et facultatif comprenant les titres académiques et le nom officiel complet (p. ex. « Dr. Maria Muster-Beispiel »).</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décès exacte.</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Lien vers une image (de préférence : PNG, puis JPG, puis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Noms de la personne avec type et valeur.</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Compétences linguistiques de la personne.</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Nationalités de la personne.</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Sexe de la personne.</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Métiers ou professions de la personne.</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Formations ou éducations de la personne. Directive : n’indiquer en principe que la qualification la plus élevée obtenue.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Lien vers la circonscription électorale.</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de liens d’intérêts.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Cs/>
          <w:i/>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de nom selon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Pour les personnes de nationalité étrangère. À utiliser en combinaison avec le nom tel qu’il figure sur le passeport étranger.</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Cs/>
          <w:i/>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de langue au format ISO 639-1 (deux lettres minuscules, par ex. « de », « fr », « it », « en »).</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préférée.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Cs/>
          <w:i/>
        </w:rPr>
        <w:t xml:space="preserve">Nationalité (également utilisée pour la citoyenneté) d’une personne indiquant le pays et la validité temporelle. Si aucun</w:t>
      </w:r>
      <w:r>
        <w:rPr>
          <w:iCs/>
          <w:i/>
        </w:rPr>
        <w:t xml:space="preserve"> </w:t>
      </w:r>
      <w:r>
        <w:rPr>
          <w:rStyle w:val="VerbatimChar"/>
          <w:iCs/>
          <w:i/>
        </w:rPr>
        <w:t xml:space="preserve">valid_from</w:t>
      </w:r>
      <w:r>
        <w:rPr>
          <w:iCs/>
          <w:i/>
        </w:rPr>
        <w:t xml:space="preserve"> </w:t>
      </w:r>
      <w:r>
        <w:rPr>
          <w:iCs/>
          <w:i/>
        </w:rPr>
        <w:t xml:space="preserve">n’est fourni, cette information n’est pas connue. S’il est établi que la nationalité est valable depuis la naissance, la date de naissance doit être répétée ici. En l’absence de</w:t>
      </w:r>
      <w:r>
        <w:rPr>
          <w:iCs/>
          <w:i/>
        </w:rPr>
        <w:t xml:space="preserve"> </w:t>
      </w:r>
      <w:r>
        <w:rPr>
          <w:rStyle w:val="VerbatimChar"/>
          <w:iCs/>
          <w:i/>
        </w:rPr>
        <w:t xml:space="preserve">valid_through</w:t>
      </w:r>
      <w:r>
        <w:rPr>
          <w:iCs/>
          <w:i/>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de pays ISO 3166-1 alpha-2.</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Cs/>
          <w:i/>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Code de sexe. Valeurs recommandées :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Pronoms utilisés par la personne.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Codes de sexe pour les personnes. Si le sexe n’est pas connu, aucune entrée de sexe ne doit être ajoutée. Le code</w:t>
      </w:r>
      <w:r>
        <w:rPr>
          <w:iCs/>
          <w:i/>
        </w:rPr>
        <w:t xml:space="preserve"> </w:t>
      </w:r>
      <w:r>
        <w:rPr>
          <w:rStyle w:val="VerbatimChar"/>
          <w:iCs/>
          <w:i/>
        </w:rPr>
        <w:t xml:space="preserve">diverse</w:t>
      </w:r>
      <w:r>
        <w:rPr>
          <w:iCs/>
          <w:i/>
        </w:rPr>
        <w:t xml:space="preserve"> </w:t>
      </w:r>
      <w:r>
        <w:rPr>
          <w:iCs/>
          <w:i/>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Masculin.</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Féminin.</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 / non binaire.</w:t>
            </w:r>
          </w:p>
        </w:tc>
      </w:tr>
      <w:tr>
        <w:tc>
          <w:tcPr/>
          <w:p>
            <w:pPr>
              <w:pStyle w:val="Compact"/>
            </w:pPr>
          </w:p>
        </w:tc>
        <w:tc>
          <w:tcPr/>
          <w:p>
            <w:pPr>
              <w:pStyle w:val="Compact"/>
            </w:pPr>
          </w:p>
        </w:tc>
      </w:tr>
    </w:tbl>
    <w:bookmarkEnd w:id="59"/>
    <w:bookmarkEnd w:id="60"/>
    <w:bookmarkStart w:id="65" w:name="classe-occupation"/>
    <w:p>
      <w:pPr>
        <w:pStyle w:val="berschrift2"/>
      </w:pPr>
      <w:r>
        <w:t xml:space="preserve">Classe: Occupation</w:t>
      </w:r>
    </w:p>
    <w:p>
      <w:pPr>
        <w:pStyle w:val="FirstParagraph"/>
      </w:pPr>
      <w:r>
        <w:rPr>
          <w:iCs/>
          <w:i/>
        </w:rPr>
        <w:t xml:space="preserve">Métier ou profession d’une personne indiquant un libellé, un code ISCO-19, si le poste est rémunéré, ainsi que la validité temporelle.</w:t>
      </w:r>
    </w:p>
    <w:p>
      <w:pPr>
        <w:pStyle w:val="Textkrper"/>
      </w:pPr>
      <w:r>
        <w:t xml:space="preserve">__</w:t>
      </w:r>
    </w:p>
    <w:bookmarkStart w:id="61" w:name="attributs-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le poste est rémunéré.</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du métier.</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de l’organisation ou de l’entreprise.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1"/>
    <w:bookmarkStart w:id="62" w:name="utilisations-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exemples-1"/>
    <w:p>
      <w:pPr>
        <w:pStyle w:val="berschrift3"/>
      </w:pPr>
      <w:r>
        <w:t xml:space="preserve">Exemples</w:t>
      </w:r>
    </w:p>
    <w:bookmarkStart w:id="63"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e-training"/>
    <w:p>
      <w:pPr>
        <w:pStyle w:val="berschrift2"/>
      </w:pPr>
      <w:r>
        <w:t xml:space="preserve">Classe: Training</w:t>
      </w:r>
    </w:p>
    <w:p>
      <w:pPr>
        <w:pStyle w:val="FirstParagraph"/>
      </w:pPr>
      <w:r>
        <w:rPr>
          <w:iCs/>
          <w:i/>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6" w:name="attributs-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de formation ou d’éducation.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de la formation ou de l’éducation.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6"/>
    <w:bookmarkStart w:id="67" w:name="utilisations-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valeurs-admissibles-2"/>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École obligatoire au maximum.</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Aucune formation.</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École obligatoire inachevée.</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École obligatoire.</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Formation d’un an / offre de transition.</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Degré secondaire II.</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Degré secondaire II - formation professionnelle.</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Apprentissage en entreprise (CFC/AFP) / formation professionnelle élémentaire / école professionnelle / école de commerce.</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Apprentissage en entreprise (AFP) 2 ans / formation prof. élémentaire / école professionnelle / école de commerce.</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Apprentissage en entreprise d’une durée de 2 ans (AFP) / formation professionnelle élémentaire.</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École professionnelle / école de commerce d’une durée de 2 ans.</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Apprentissage en entreprise (CFC) 3-4 ans / école professionnelle / école de commerce.</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Apprentissage en entreprise d’une durée de 3 à 4 ans (CFC).</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École professionnelle / école de commerce d’une durée de 3 a 4 ans.</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Degré secondaire II - formation générale.</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École de culture générale / école de degré diplôme.</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École de culture générale / école de degré diplôme d’une durée de 2 ans.</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École de culture générale / école de degré diplôme d’une durée de 3 ans.</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Maturité ou école normale.</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Maturité gymnasiale.</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Brevet d’enseignement.</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Maturité professionnelle / spécialisée.</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Maturité professionnelle.</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Maturité spécialisée.</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Degré tertiaire.</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Formation professionnelle supérieure.</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Examen professionnel avec brevet fédéral / examen professionnel supérieur avec diplôme fédéral/maîtrise.</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Examen professionnel avec brevet fédéral.</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Examen professionnel supérieur avec diplôme fédéral/maîtrise.</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École supérieure (ES).</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École supérieure (ES) 2 ans plein temps ou 3 ans temps partiel.</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École supérieure (ES) 3 ans plein temps ou 4 ans temps partiel.</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Haute école.</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université, EPF, haute école spécialisée, haute école pédagogique (y compris diplôme HES/HEP).</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haute école spécialisée (y compris diplôme HES).</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haute école pédagogique (y compris diplôme HEP).</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université, EPF.</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université, EPF, haute école spécialisée, haute école pédagogique (y compris licence/diplôme).</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haute école spécialisée.</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haute école pédagogique.</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université, EPF (y compris licence/diplôme université/EPF).</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 /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2"/>
    <w:bookmarkEnd w:id="113"/>
    <w:bookmarkStart w:id="118" w:name="classe-electoraldistrict"/>
    <w:p>
      <w:pPr>
        <w:pStyle w:val="berschrift2"/>
      </w:pPr>
      <w:r>
        <w:t xml:space="preserve">Classe: ElectoralDistrict</w:t>
      </w:r>
    </w:p>
    <w:p>
      <w:pPr>
        <w:pStyle w:val="FirstParagraph"/>
      </w:pPr>
      <w:r>
        <w:rPr>
          <w:iCs/>
          <w:i/>
        </w:rPr>
        <w:t xml:space="preserve">Circonscription ou région électorale dans laquelle une personne est politiquement active ; avec validité temporelle.</w:t>
      </w:r>
    </w:p>
    <w:p>
      <w:pPr>
        <w:pStyle w:val="Textkrper"/>
      </w:pPr>
      <w:r>
        <w:t xml:space="preserve">__</w:t>
      </w:r>
    </w:p>
    <w:bookmarkStart w:id="114" w:name="attributs-7"/>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Circonscription ou région électorale.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4"/>
    <w:bookmarkStart w:id="115" w:name="utilisations-7"/>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exemples-2"/>
    <w:p>
      <w:pPr>
        <w:pStyle w:val="berschrift3"/>
      </w:pPr>
      <w:r>
        <w:t xml:space="preserve">Exemples</w:t>
      </w:r>
    </w:p>
    <w:bookmarkStart w:id="116"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numPr>
          <w:ilvl w:val="0"/>
          <w:numId w:val="1006"/>
        </w:numPr>
        <w:pStyle w:val="Compact"/>
      </w:pPr>
      <w:r>
        <w:rPr>
          <w:bCs/>
          <w:b/>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Cs/>
          <w:i/>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numPr>
          <w:ilvl w:val="0"/>
          <w:numId w:val="1006"/>
        </w:numPr>
        <w:pStyle w:val="Compact"/>
      </w:pPr>
      <w:r>
        <w:rPr>
          <w:bCs/>
          <w:b/>
        </w:rPr>
        <w:t xml:space="preserve">Groupes et sous-groupes au moyen de</w:t>
      </w:r>
      <w:r>
        <w:rPr>
          <w:bCs/>
          <w:b/>
        </w:rPr>
        <w:t xml:space="preserve"> </w:t>
      </w:r>
      <w:r>
        <w:rPr>
          <w:rStyle w:val="VerbatimChar"/>
          <w:bCs/>
          <w:b/>
        </w:rPr>
        <w:t xml:space="preserve">parent_groups</w:t>
      </w:r>
      <w:r>
        <w:rPr>
          <w:bCs/>
          <w:b/>
        </w:rPr>
        <w:t xml:space="preserve"> </w:t>
      </w:r>
      <w:r>
        <w:rPr>
          <w:bCs/>
          <w:b/>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numPr>
          <w:ilvl w:val="0"/>
          <w:numId w:val="1006"/>
        </w:numPr>
        <w:pStyle w:val="Compact"/>
      </w:pPr>
      <w:r>
        <w:rPr>
          <w:bCs/>
          <w:b/>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Cs/>
          <w:i/>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de l’entité.</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Site web fournissant de plus amples informations.</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Référence spatiale (numéro OFS de commune, numéro OFS de canton ou pays). Formats : commune : ld.admin.ch/municipality/1234, canton : ld.admin.ch/canton/23, pays :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vers les statuts du parti (PDF ou page web ; facultatif pour les partis).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Couleur du parti sous forme de valeur hexadécimale (facultatif pour les partis, p. ex. « #FF0000 »).</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Cs/>
          <w:i/>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Lien vers le vocabulaire contrôlé pour les types de groupes.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de groupes et d’organisations politiques.</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Liste électorale (peut faire partie d’un parti ou être indépendante).</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Groupe de travail ad hoc, généralement d’une durée limitée.</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Délégation.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Groupe parlementaire.</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Bureau du parlement.</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Présidence du parlement.</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Gouvernement / exécutif en tant qu’organe collégial (p. ex. Conseil fédéral, conseil d’État, conseil municipal ou conseil communal).</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Département gouvernemental.</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Office gouvernemental.</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Commission extraparlementaire dotée d’un mandat gouvernemental (p. ex. Conseil de banque de la Banque nationale suisse,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Groupe d’intérêts issu de la société civile.</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Organe de contrôle ou de surveillance (p. ex. Contrôle fédéral des finances CDF, autorité de surveillance AS-MPC).</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Services du parlement.</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Tribunal / pouvoir judiciaire à tout niveau (p. ex. Tribunal fédéral, tribunal cantonal, tribunal de district).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Porteur de pétition.</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Université ou établissement d’enseignement en tant que prestataire externalisé de tâches publiques.</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Autre type de groupe non couvert par les catégories standard.</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numPr>
          <w:ilvl w:val="0"/>
          <w:numId w:val="1007"/>
        </w:numPr>
        <w:pStyle w:val="Compact"/>
      </w:pPr>
      <w:r>
        <w:rPr>
          <w:bCs/>
          <w:b/>
        </w:rPr>
        <w:t xml:space="preserve">Délimitation par rapport aux liens d’intérêts (</w:t>
      </w:r>
      <w:r>
        <w:rPr>
          <w:rStyle w:val="VerbatimChar"/>
          <w:bCs/>
          <w:b/>
        </w:rPr>
        <w:t xml:space="preserve">InterestLink</w:t>
      </w:r>
      <w:r>
        <w:rPr>
          <w:bCs/>
          <w:b/>
        </w:rPr>
        <w:t xml:space="preserve">) :</w:t>
      </w:r>
      <w:r>
        <w:t xml:space="preserve"> </w:t>
      </w:r>
      <w:r>
        <w:rPr>
          <w:rStyle w:val="VerbatimChar"/>
        </w:rPr>
        <w:t xml:space="preserve">Membership</w:t>
      </w:r>
      <w:r>
        <w:t xml:space="preserve"> </w:t>
      </w:r>
      <w:r>
        <w:t xml:space="preserve">consigne l’</w:t>
      </w:r>
      <w:r>
        <w:rPr>
          <w:iCs/>
          <w:i/>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Cs/>
          <w:i/>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numPr>
          <w:ilvl w:val="0"/>
          <w:numId w:val="1007"/>
        </w:numPr>
        <w:pStyle w:val="Compact"/>
      </w:pPr>
      <w:r>
        <w:rPr>
          <w:bCs/>
          <w:b/>
        </w:rPr>
        <w:t xml:space="preserve">Références avec instantané plutôt qu’intégration (</w:t>
      </w:r>
      <w:r>
        <w:rPr>
          <w:rStyle w:val="VerbatimChar"/>
          <w:bCs/>
          <w:b/>
        </w:rPr>
        <w:t xml:space="preserve">person_reference</w:t>
      </w:r>
      <w:r>
        <w:rPr>
          <w:bCs/>
          <w:b/>
        </w:rPr>
        <w:t xml:space="preserve">/</w:t>
      </w:r>
      <w:r>
        <w:rPr>
          <w:rStyle w:val="VerbatimChar"/>
          <w:bCs/>
          <w:b/>
        </w:rPr>
        <w:t xml:space="preserve">group_reference</w:t>
      </w:r>
      <w:r>
        <w:rPr>
          <w:bCs/>
          <w:b/>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numPr>
          <w:ilvl w:val="0"/>
          <w:numId w:val="1007"/>
        </w:numPr>
        <w:pStyle w:val="Compact"/>
      </w:pPr>
      <w:r>
        <w:rPr>
          <w:bCs/>
          <w:b/>
        </w:rPr>
        <w:t xml:space="preserve">Activité explicite ou déduite (</w:t>
      </w:r>
      <w:r>
        <w:rPr>
          <w:rStyle w:val="VerbatimChar"/>
          <w:bCs/>
          <w:b/>
        </w:rPr>
        <w:t xml:space="preserve">is_active</w:t>
      </w:r>
      <w:r>
        <w:rPr>
          <w:bCs/>
          <w:b/>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Affiliation ≠ droit de vote (</w:t>
      </w:r>
      <w:r>
        <w:rPr>
          <w:rStyle w:val="VerbatimChar"/>
          <w:bCs/>
          <w:b/>
        </w:rPr>
        <w:t xml:space="preserve">authorized_to_vote</w:t>
      </w:r>
      <w:r>
        <w:rPr>
          <w:bCs/>
          <w:b/>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numPr>
          <w:ilvl w:val="0"/>
          <w:numId w:val="1007"/>
        </w:numPr>
        <w:pStyle w:val="Compact"/>
      </w:pPr>
      <w:r>
        <w:rPr>
          <w:bCs/>
          <w:b/>
        </w:rPr>
        <w:t xml:space="preserve">Rôle comme vocabulaire contrôlé avec option en texte libre (</w:t>
      </w:r>
      <w:r>
        <w:rPr>
          <w:rStyle w:val="VerbatimChar"/>
          <w:bCs/>
          <w:b/>
        </w:rPr>
        <w:t xml:space="preserve">role_type</w:t>
      </w:r>
      <w:r>
        <w:rPr>
          <w:bCs/>
          <w:b/>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Cs/>
          <w:i/>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Référence à une personne avec des données instantanées au moment de la mise en relation.</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Référence à un groupe avec des données instantanées au moment de la mise en relation.</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Rôle de la personne dans l’affiliation ou la fonction.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classe-roletype"/>
    <w:p>
      <w:pPr>
        <w:pStyle w:val="berschrift2"/>
      </w:pPr>
      <w:r>
        <w:t xml:space="preserve">Classe: RoleType</w:t>
      </w:r>
    </w:p>
    <w:p>
      <w:pPr>
        <w:pStyle w:val="FirstParagraph"/>
      </w:pPr>
      <w:r>
        <w:rPr>
          <w:iCs/>
          <w:i/>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Cs/>
          <w:i/>
        </w:rPr>
        <w:t xml:space="preserve"> </w:t>
      </w:r>
      <w:r>
        <w:rPr>
          <w:rStyle w:val="VerbatimChar"/>
          <w:iCs/>
          <w:i/>
        </w:rPr>
        <w:t xml:space="preserve">role_label</w:t>
      </w:r>
      <w:r>
        <w:rPr>
          <w:iCs/>
          <w:i/>
        </w:rPr>
        <w:t xml:space="preserve">. Le libellé peut également être utilisé lorsqu’une désignation spécifique est nécessaire, même s’il existe une valeur sémantique appropriée dans</w:t>
      </w:r>
      <w:r>
        <w:rPr>
          <w:iCs/>
          <w:i/>
        </w:rPr>
        <w:t xml:space="preserve"> </w:t>
      </w:r>
      <w:r>
        <w:rPr>
          <w:rStyle w:val="VerbatimChar"/>
          <w:iCs/>
          <w:i/>
        </w:rPr>
        <w:t xml:space="preserve">role_type_enum</w:t>
      </w:r>
      <w:r>
        <w:rPr>
          <w:iCs/>
          <w:i/>
        </w:rPr>
        <w:t xml:space="preserve"> </w:t>
      </w:r>
      <w:r>
        <w:rPr>
          <w:iCs/>
          <w:i/>
        </w:rPr>
        <w:t xml:space="preserve">; il doit être fourni lorsque</w:t>
      </w:r>
      <w:r>
        <w:rPr>
          <w:iCs/>
          <w:i/>
        </w:rPr>
        <w:t xml:space="preserve"> </w:t>
      </w:r>
      <w:r>
        <w:rPr>
          <w:rStyle w:val="VerbatimChar"/>
          <w:iCs/>
          <w:i/>
        </w:rPr>
        <w:t xml:space="preserve">role_type_enum</w:t>
      </w:r>
      <w:r>
        <w:rPr>
          <w:iCs/>
          <w:i/>
        </w:rPr>
        <w:t xml:space="preserve"> </w:t>
      </w:r>
      <w:r>
        <w:rPr>
          <w:iCs/>
          <w:i/>
        </w:rPr>
        <w:t xml:space="preserve">est réglé sur « other ».</w:t>
      </w:r>
    </w:p>
    <w:p>
      <w:pPr>
        <w:pStyle w:val="Textkrper"/>
      </w:pPr>
      <w:r>
        <w:t xml:space="preserve">__</w:t>
      </w:r>
    </w:p>
    <w:bookmarkStart w:id="154" w:name="attributs-1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Rôle de la personne dans l’affiliation ou la fonction.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End w:id="154"/>
    <w:bookmarkStart w:id="155" w:name="utilisations-11"/>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Rôles qu’une personne peut occuper dans le cadre d’une affiliation.</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valeurs-admissibles-4"/>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member</w:t>
            </w:r>
          </w:p>
        </w:tc>
        <w:tc>
          <w:tcPr/>
          <w:p>
            <w:pPr>
              <w:pStyle w:val="Compact"/>
              <w:jc w:val="left"/>
            </w:pPr>
            <w:r>
              <w:t xml:space="preserve">Membre ordinaire (par défaut).</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Président ou président du groupe.</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Rôle de suppléant/vice (stellvertreter).</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Autre rôle ; utiliser role_label pour un libellé descriptif.</w:t>
            </w:r>
          </w:p>
        </w:tc>
      </w:tr>
      <w:tr>
        <w:tc>
          <w:tcPr/>
          <w:p>
            <w:pPr>
              <w:pStyle w:val="Compact"/>
            </w:pPr>
          </w:p>
        </w:tc>
        <w:tc>
          <w:tcPr/>
          <w:p>
            <w:pPr>
              <w:pStyle w:val="Compact"/>
            </w:pPr>
          </w:p>
        </w:tc>
      </w:tr>
    </w:tbl>
    <w:bookmarkEnd w:id="158"/>
    <w:p>
      <w:r>
        <w:br w:type="page"/>
      </w:r>
    </w:p>
    <w:bookmarkEnd w:id="159"/>
    <w:bookmarkEnd w:id="160"/>
    <w:bookmarkStart w:id="22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r:id="rId161">
        <w:r>
          <w:rPr>
            <w:rStyle w:val="Hyperlink"/>
          </w:rPr>
          <w:t xml:space="preserve">Assemblée fédérale – Liens d’intérêts</w:t>
        </w:r>
      </w:hyperlink>
      <w:r>
        <w:t xml:space="preserve">.</w:t>
      </w:r>
    </w:p>
    <w:p>
      <w:pPr>
        <w:numPr>
          <w:ilvl w:val="0"/>
          <w:numId w:val="1008"/>
        </w:numPr>
        <w:pStyle w:val="Compact"/>
      </w:pPr>
      <w:r>
        <w:rPr>
          <w:bCs/>
          <w:b/>
        </w:rPr>
        <w:t xml:space="preserve">Délimitation par rapport aux affiliations (</w:t>
      </w:r>
      <w:r>
        <w:rPr>
          <w:rStyle w:val="VerbatimChar"/>
          <w:bCs/>
          <w:b/>
        </w:rPr>
        <w:t xml:space="preserve">Membership</w:t>
      </w:r>
      <w:r>
        <w:rPr>
          <w:bCs/>
          <w:b/>
        </w:rPr>
        <w:t xml:space="preserve">) :</w:t>
      </w:r>
      <w:r>
        <w:t xml:space="preserve"> </w:t>
      </w:r>
      <w:r>
        <w:rPr>
          <w:rStyle w:val="VerbatimChar"/>
        </w:rPr>
        <w:t xml:space="preserve">InterestLink</w:t>
      </w:r>
      <w:r>
        <w:t xml:space="preserve"> </w:t>
      </w:r>
      <w:r>
        <w:t xml:space="preserve">représente les liens avec des organisations</w:t>
      </w:r>
      <w:r>
        <w:t xml:space="preserve"> </w:t>
      </w:r>
      <w:r>
        <w:rPr>
          <w:iCs/>
          <w:i/>
        </w:rPr>
        <w:t xml:space="preserve">extérieures</w:t>
      </w:r>
      <w:r>
        <w:t xml:space="preserve"> </w:t>
      </w:r>
      <w:r>
        <w:t xml:space="preserve">au schéma des acteurs (conflits d’intérêts, financement de la politique) – par opposition à l’appartenance formelle</w:t>
      </w:r>
      <w:r>
        <w:t xml:space="preserve"> </w:t>
      </w:r>
      <w:r>
        <w:rPr>
          <w:iCs/>
          <w:i/>
        </w:rPr>
        <w:t xml:space="preserve">au sein</w:t>
      </w:r>
      <w:r>
        <w:t xml:space="preserve"> </w:t>
      </w:r>
      <w:r>
        <w:t xml:space="preserve">du schéma, qui est consignée au moyen de</w:t>
      </w:r>
      <w:r>
        <w:t xml:space="preserve"> </w:t>
      </w:r>
      <w:r>
        <w:rPr>
          <w:rStyle w:val="VerbatimChar"/>
        </w:rPr>
        <w:t xml:space="preserve">Membership</w:t>
      </w:r>
      <w:r>
        <w:t xml:space="preserve">.</w:t>
      </w:r>
    </w:p>
    <w:p>
      <w:pPr>
        <w:numPr>
          <w:ilvl w:val="0"/>
          <w:numId w:val="1008"/>
        </w:numPr>
        <w:pStyle w:val="Compact"/>
      </w:pPr>
      <w:r>
        <w:rPr>
          <w:bCs/>
          <w:b/>
        </w:rPr>
        <w:t xml:space="preserve">Classification obligatoire (</w:t>
      </w:r>
      <w:r>
        <w:rPr>
          <w:rStyle w:val="VerbatimChar"/>
          <w:bCs/>
          <w:b/>
        </w:rPr>
        <w:t xml:space="preserve">interest_type</w:t>
      </w:r>
      <w:r>
        <w:rPr>
          <w:bCs/>
          <w:b/>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numPr>
          <w:ilvl w:val="0"/>
          <w:numId w:val="1008"/>
        </w:numPr>
        <w:pStyle w:val="Compact"/>
      </w:pPr>
      <w:r>
        <w:rPr>
          <w:bCs/>
          <w:b/>
        </w:rPr>
        <w:t xml:space="preserve">Organisation référençable par IDE (</w:t>
      </w:r>
      <w:r>
        <w:rPr>
          <w:rStyle w:val="VerbatimChar"/>
          <w:bCs/>
          <w:b/>
        </w:rPr>
        <w:t xml:space="preserve">organization_uid</w:t>
      </w:r>
      <w:r>
        <w:rPr>
          <w:bCs/>
          <w:b/>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numPr>
          <w:ilvl w:val="0"/>
          <w:numId w:val="1008"/>
        </w:numPr>
        <w:pStyle w:val="Compact"/>
      </w:pPr>
      <w:r>
        <w:rPr>
          <w:bCs/>
          <w:b/>
        </w:rPr>
        <w:t xml:space="preserve">Étendue et rémunération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 :</w:t>
      </w:r>
      <w:r>
        <w:t xml:space="preserve"> </w:t>
      </w:r>
      <w:r>
        <w:t xml:space="preserve">outre l’organe et la fonction au sein de l’organisation, il est explicitement consigné si la position est rémunérée – un aspect central de la transparence.</w:t>
      </w:r>
    </w:p>
    <w:bookmarkStart w:id="176" w:name="classe-interestlink"/>
    <w:p>
      <w:pPr>
        <w:pStyle w:val="berschrift2"/>
      </w:pPr>
      <w:r>
        <w:t xml:space="preserve">Classe: InterestLink</w:t>
      </w:r>
    </w:p>
    <w:p>
      <w:pPr>
        <w:pStyle w:val="FirstParagraph"/>
      </w:pPr>
      <w:r>
        <w:rPr>
          <w:iCs/>
          <w:i/>
        </w:rPr>
        <w:t xml:space="preserve">Un lien d’intérêts (conflit d’intérêts, financement politique) d’une personne avec une organisation située en dehors du schéma des acteurs.</w:t>
      </w:r>
    </w:p>
    <w:p>
      <w:pPr>
        <w:pStyle w:val="Textkrper"/>
      </w:pPr>
      <w:r>
        <w:t xml:space="preserve">__</w:t>
      </w:r>
    </w:p>
    <w:bookmarkStart w:id="162" w:name="attributs-1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Référence à une personne avec des données instantanées au moment de la mise en relation.</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de lien d’intérêts (activité professionnelle, mandat politique,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de l’organisation ou de l’entreprise.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Adresse de l’organisation.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Forme juridique de l’organisation. Voir le vocabulaire contrôlé :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le poste est rémunéré.</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Comité ou organe au sein de l’organisation (p. ex. conseil d’administration, conseil de fondation, comité directeur, conseil de surveillance, comité consultatif, direction).</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Fonction ou rôle dans l’organisation (p. ex. président/e, vice-président/e, membre, délégué, directeur/directrice, conseiller/ère).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1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emples-3"/>
    <w:p>
      <w:pPr>
        <w:pStyle w:val="berschrift3"/>
      </w:pPr>
      <w:r>
        <w:t xml:space="preserve">Exemples</w:t>
      </w:r>
    </w:p>
    <w:bookmarkStart w:id="164"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de liens d’intérêts (conflits d’intérêts, financement politique).</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valeurs-admissibles-5"/>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valeurs-admissibles-6"/>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Entreprise individuelle.</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Société en nom collectif (SNC).</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Société en commandite (SCm).</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Société en commandite par actions (SCmA).</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Société anonyme (SA).</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Société à responsabilité limitée (Sàrl).</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Société coopérative.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Succursale d’une entreprise étrangère.</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Forme juridique particulière.</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Société en commandite de placements collectifs (SCmPC).</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Société d’investissement à capital variable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Société d’investissement à capital fixe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Institut de droit public.</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Procuration non-commerciale.</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Représentant d’indivision.</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Succursale.</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Unité de l’administration fédérale.</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Unité de l’administration cantonale.</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Unité de l’administration du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Unité de l’administration communale.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Autre unité de l’administration de droit public.</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Institution de droit public fédérale.</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Institution de droit public cantonale.</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Institution de droit public du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Institution de droit public communale.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Autre institution de droit public.</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Société simple.</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Établissement stable ou représentant suisse d’une entreprise étrangère.</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Entreprise publique étrangère.</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Administration publique étrangère.</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Organisation internationale.</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Autre société coopérative.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Fonds.</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Entreprise étrangère.</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Forme juridique non déterminée ou inconnue.</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éléments-partagés"/>
    <w:p>
      <w:pPr>
        <w:pStyle w:val="berschrift1"/>
      </w:pPr>
      <w:r>
        <w:t xml:space="preserve">Éléments partagés</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Cs/>
          <w:b/>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Cs/>
          <w:b/>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Cs/>
          <w:b/>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numPr>
          <w:ilvl w:val="0"/>
          <w:numId w:val="1009"/>
        </w:numPr>
        <w:pStyle w:val="Compact"/>
      </w:pPr>
      <w:r>
        <w:rPr>
          <w:bCs/>
          <w:b/>
        </w:rPr>
        <w:t xml:space="preserve">Des données locales utiles</w:t>
      </w:r>
      <w:r>
        <w:t xml:space="preserve"> </w:t>
      </w:r>
      <w:r>
        <w:t xml:space="preserve">sans requêtes coûteuses sur l’entité complète</w:t>
      </w:r>
    </w:p>
    <w:p>
      <w:pPr>
        <w:numPr>
          <w:ilvl w:val="0"/>
          <w:numId w:val="1009"/>
        </w:numPr>
        <w:pStyle w:val="Compact"/>
      </w:pPr>
      <w:r>
        <w:rPr>
          <w:bCs/>
          <w:b/>
        </w:rPr>
        <w:t xml:space="preserve">Aucune redondance</w:t>
      </w:r>
      <w:r>
        <w:t xml:space="preserve">, car il n’est pas nécessaire de répéter toutes les informations à chaque mention</w:t>
      </w:r>
    </w:p>
    <w:p>
      <w:pPr>
        <w:numPr>
          <w:ilvl w:val="0"/>
          <w:numId w:val="1009"/>
        </w:numPr>
        <w:pStyle w:val="Compact"/>
      </w:pPr>
      <w:r>
        <w:rPr>
          <w:bCs/>
          <w:b/>
        </w:rPr>
        <w:t xml:space="preserve">Un versionnement implicite</w:t>
      </w:r>
      <w:r>
        <w:t xml:space="preserve">, car la référence locale demeure inchangée, même si l’entité liée change ultérieurement</w:t>
      </w:r>
    </w:p>
    <w:bookmarkEnd w:id="225"/>
    <w:bookmarkStart w:id="228" w:name="classe-personreference"/>
    <w:p>
      <w:pPr>
        <w:pStyle w:val="berschrift2"/>
      </w:pPr>
      <w:r>
        <w:t xml:space="preserve">Classe: PersonReference</w:t>
      </w:r>
    </w:p>
    <w:p>
      <w:pPr>
        <w:pStyle w:val="FirstParagraph"/>
      </w:pPr>
      <w:r>
        <w:rPr>
          <w:iCs/>
          <w:i/>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6" w:name="attributs-1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Nom d’affichage court obligatoire permettant d’identifier la personne au sein de l’organisation (par ex. avec l’ajout de l’année de naissance afin de distinguer les personnes portant le même nom).</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facultatif comprenant les titres académiques et le nom officiel complet (par ex. « Dr. Maria Muster-Beispiel »).</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de l’organe/du groupe au moment de la liaison.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6"/>
    <w:bookmarkStart w:id="227" w:name="utilisations-1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e-groupreference"/>
    <w:p>
      <w:pPr>
        <w:pStyle w:val="berschrift2"/>
      </w:pPr>
      <w:r>
        <w:t xml:space="preserve">Classe: GroupReference</w:t>
      </w:r>
    </w:p>
    <w:p>
      <w:pPr>
        <w:pStyle w:val="FirstParagraph"/>
      </w:pPr>
      <w:r>
        <w:rPr>
          <w:iCs/>
          <w:i/>
        </w:rPr>
        <w:t xml:space="preserve">Référence légère à un groupe avec les principales données d’identification au moment de la liaison.</w:t>
      </w:r>
    </w:p>
    <w:p>
      <w:pPr>
        <w:pStyle w:val="Textkrper"/>
      </w:pPr>
      <w:r>
        <w:t xml:space="preserve">__</w:t>
      </w:r>
    </w:p>
    <w:bookmarkStart w:id="229" w:name="attributs-1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4"/>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classes-utilisées-à-plusieurs-reprises"/>
    <w:p>
      <w:pPr>
        <w:pStyle w:val="berschrift2"/>
      </w:pPr>
      <w:r>
        <w:t xml:space="preserve">Classes utilisées à plusieurs reprises</w:t>
      </w:r>
    </w:p>
    <w:bookmarkEnd w:id="232"/>
    <w:bookmarkStart w:id="237" w:name="classe-address"/>
    <w:p>
      <w:pPr>
        <w:pStyle w:val="berschrift2"/>
      </w:pPr>
      <w:r>
        <w:t xml:space="preserve">Classe: Address</w:t>
      </w:r>
    </w:p>
    <w:p>
      <w:pPr>
        <w:pStyle w:val="FirstParagraph"/>
      </w:pPr>
      <w:r>
        <w:rPr>
          <w:iCs/>
          <w:i/>
        </w:rPr>
        <w:t xml:space="preserve">Une adresse avec un type (p. ex. adresse privée, adresse professionnelle) et une valeur.</w:t>
      </w:r>
    </w:p>
    <w:p>
      <w:pPr>
        <w:pStyle w:val="Textkrper"/>
      </w:pPr>
      <w:r>
        <w:t xml:space="preserve">__</w:t>
      </w:r>
    </w:p>
    <w:bookmarkStart w:id="233" w:name="attributs-1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d’adresse.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Adresse (rue).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Code postal.</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Localité.</w:t>
            </w:r>
          </w:p>
        </w:tc>
      </w:tr>
    </w:tbl>
    <w:bookmarkEnd w:id="233"/>
    <w:bookmarkStart w:id="234" w:name="utilisations-1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emples-4"/>
    <w:p>
      <w:pPr>
        <w:pStyle w:val="berschrift3"/>
      </w:pPr>
      <w:r>
        <w:t xml:space="preserve">Exemples</w:t>
      </w:r>
    </w:p>
    <w:bookmarkStart w:id="235"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d’adresses.</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valeurs-admissibles-7"/>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Adresse privée.</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Adresse professionnelle.</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Adresse locale.</w:t>
            </w:r>
          </w:p>
        </w:tc>
      </w:tr>
      <w:tr>
        <w:tc>
          <w:tcPr/>
          <w:p>
            <w:pPr>
              <w:pStyle w:val="Compact"/>
            </w:pPr>
          </w:p>
        </w:tc>
        <w:tc>
          <w:tcPr/>
          <w:p>
            <w:pPr>
              <w:pStyle w:val="Compact"/>
            </w:pPr>
          </w:p>
        </w:tc>
      </w:tr>
    </w:tbl>
    <w:bookmarkEnd w:id="239"/>
    <w:bookmarkEnd w:id="240"/>
    <w:bookmarkStart w:id="243" w:name="classe-contact"/>
    <w:p>
      <w:pPr>
        <w:pStyle w:val="berschrift2"/>
      </w:pPr>
      <w:r>
        <w:t xml:space="preserve">Classe: Contact</w:t>
      </w:r>
    </w:p>
    <w:p>
      <w:pPr>
        <w:pStyle w:val="FirstParagraph"/>
      </w:pPr>
      <w:r>
        <w:rPr>
          <w:iCs/>
          <w:i/>
        </w:rPr>
        <w:t xml:space="preserve">Informations de contact d’une personne indiquant un type (p. ex. e-mail, LinkedIn) et une valeur.</w:t>
      </w:r>
    </w:p>
    <w:p>
      <w:pPr>
        <w:pStyle w:val="Textkrper"/>
      </w:pPr>
      <w:r>
        <w:t xml:space="preserve">__</w:t>
      </w:r>
    </w:p>
    <w:bookmarkStart w:id="241" w:name="attributs-1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d’informations de contact.</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bl>
    <w:bookmarkEnd w:id="241"/>
    <w:bookmarkStart w:id="242" w:name="utilisations-1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StyleRowBandSize w:val="1"/>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tblStylePr w:type="band1Horz">
      <w:tcPr>
        <w:shd w:color="auto" w:fill="F2F2F2" w:val="clear"/>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2026-07-17T13:28:18Z</dcterms:created>
  <dcterms:modified xsi:type="dcterms:W3CDTF">2026-07-17T13:28:18Z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