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long et facultatif comprenant les titres académiques et le nom officiel complet (p. ex. « Dr. Maria Muster-Beispiel »).</w:t>
            </w:r>
          </w:p>
        </w:tc>
      </w:tr>
      <w:tr>
        <w:tc>
          <w:tcPr/>
          <w:p>
            <w:pPr>
              <w:pStyle w:val="Compact"/>
            </w:pPr>
            <w:r>
              <w:t xml:space="preserve">birth_year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décès exacte.</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Lien vers une image (de préférence : PNG, puis JPG, puis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Noms de la personne avec type et valeur.</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Compétences linguistiques de la personne.</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Nationalités de la personne.</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Sexe de la personne.</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Métiers ou professions de la personne.</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Formations ou éducations de la personne. Directive : n’indiquer en principe que la qualification la plus élevée obtenue.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Informations de contact (e-mail, site web, réseaux sociaux). Directive : l’e-mail est quasi obligatoire et devrait toujours être fourni lorsqu’il est disponible.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de liens d’intérêts.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85af3b4e3f133946b9ad2704b95a8386bf0e70b"/>
    <w:p>
      <w:pPr>
        <w:pStyle w:val="berschrift4"/>
      </w:pPr>
      <w:r>
        <w:t xml:space="preserve">Exemple Person : Variante de nom à côté du double nom officiel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9ff856bad67e01f92e697d80659d553e8da368c"/>
    <w:p>
      <w:pPr>
        <w:pStyle w:val="berschrift4"/>
      </w:pPr>
      <w:r>
        <w:t xml:space="preserve">Exemple Person : Prénom usuel différent du prénom officiel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31c797f6b873eca5acc5d0093bbd1b980d13671"/>
    <w:p>
      <w:pPr>
        <w:pStyle w:val="berschrift4"/>
      </w:pPr>
      <w:r>
        <w:t xml:space="preserve">Exemple Person : Indication de sexe non binaire avec profession et formation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162a2deea2e6df8548fc8288ae1079ffb0932d5"/>
    <w:p>
      <w:pPr>
        <w:pStyle w:val="berschrift4"/>
      </w:pPr>
      <w:r>
        <w:t xml:space="preserve">Exemple Person : Distinguer des personnes homonymes par le label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f87f9d062c087d91c881963730395ad9b010f92"/>
    <w:p>
      <w:pPr>
        <w:pStyle w:val="berschrift4"/>
      </w:pPr>
      <w:r>
        <w:t xml:space="preserve">Exemple Person : Personne saisie de manière complète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fc34685f917d1ae1cbd350bc37b4e57ca842e4b"/>
    <w:p>
      <w:pPr>
        <w:pStyle w:val="berschrift4"/>
      </w:pPr>
      <w:r>
        <w:t xml:space="preserve">Exemple Person : Distinguer des personnes homonymes par le label (deuxième personne)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5e54cb11b65b9c57c6441cdedd45adf552828a9"/>
    <w:p>
      <w:pPr>
        <w:pStyle w:val="berschrift4"/>
      </w:pPr>
      <w:r>
        <w:t xml:space="preserve">Exemple Occupation :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51eeb2c1d01c1f8948943fa28cf1fc83883ad5c"/>
    <w:p>
      <w:pPr>
        <w:pStyle w:val="berschrift4"/>
      </w:pPr>
      <w:r>
        <w:t xml:space="preserve">Exemple Occupation :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0"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sont toutefois possibles (p. ex. un groupe parlementaire qui renvoie à son parlement). Seule la relation de subordination est déterminante : les partis qui portent un groupe parlementaire ne lui sont pas supérieurs. Leur rapport au groupe n’est délibérément pas représenté dans la norme – il ne s’agit pas d’une hiérarchie, et il n’en existe pas de forme générale robuste, les groupes parlementaires étant liés aux partis de manière plus ou moins étroite selon les conseils. Là où l’appartenance doit être visible, elle l’est par les affiliations des personnes. Le renvoi prend la forme d’une</w:t>
      </w:r>
      <w:r>
        <w:t xml:space="preserve"> </w:t>
      </w:r>
      <w:r>
        <w:rPr>
          <w:rStyle w:val="VerbatimChar"/>
        </w:rPr>
        <w:t xml:space="preserve">GroupReference</w:t>
      </w:r>
      <w:r>
        <w:t xml:space="preserve"> </w:t>
      </w:r>
      <w:r>
        <w:t xml:space="preserve">– la même que celle par laquelle une affiliation désigne son groupe. Que le lien exprime un rapport de subordination est indiqué par le slot</w:t>
      </w:r>
      <w:r>
        <w:t xml:space="preserve"> </w:t>
      </w:r>
      <w:r>
        <w:rPr>
          <w:rStyle w:val="VerbatimChar"/>
        </w:rPr>
        <w:t xml:space="preserve">parent_groups</w:t>
      </w:r>
      <w:r>
        <w:t xml:space="preserve"> </w:t>
      </w:r>
      <w:r>
        <w:t xml:space="preserve">lui-même ; la référence ne porte que l’adressage. Celui-ci peut se faire au moyen du</w:t>
      </w:r>
      <w:r>
        <w:t xml:space="preserve"> </w:t>
      </w:r>
      <w:r>
        <w:rPr>
          <w:rStyle w:val="VerbatimChar"/>
        </w:rPr>
        <w:t xml:space="preserve">local_id</w:t>
      </w:r>
      <w:r>
        <w:t xml:space="preserve"> </w:t>
      </w:r>
      <w:r>
        <w:t xml:space="preserve">lorsque le groupe supérieur fait partie de la même livraison, ou du</w:t>
      </w:r>
      <w:r>
        <w:t xml:space="preserve"> </w:t>
      </w:r>
      <w:r>
        <w:rPr>
          <w:rStyle w:val="VerbatimChar"/>
        </w:rPr>
        <w:t xml:space="preserve">global_uri</w:t>
      </w:r>
      <w:r>
        <w:t xml:space="preserve"> </w:t>
      </w:r>
      <w:r>
        <w:t xml:space="preserve">lorsqu’il se situe en dehors – un parti cantonal peut ainsi renvoyer à son parti national sans que celui-ci doive être livré. Lorsque les deux sont connus, les deux sont indiqués.</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0"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Désignation du groupe avec la langue dans laquelle elle est publiée. Lorsqu’un groupe porte officiellement un nom dans plusieurs langues, une entrée est saisie par langue.</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Description de l’entité.</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Forme juridique de l’organisation. Voir le vocabulaire contrôlé :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hyperlink w:anchor="MultilingualUri">
              <w:r>
                <w:rPr>
                  <w:rStyle w:val="Hyperlink"/>
                </w:rPr>
                <w:t xml:space="preserve">MultilingualUri</w:t>
              </w:r>
            </w:hyperlink>
          </w:p>
        </w:tc>
        <w:tc>
          <w:tcPr/>
          <w:p>
            <w:pPr>
              <w:pStyle w:val="Compact"/>
            </w:pPr>
            <w:r>
              <w:t xml:space="preserve">Site web fournissant de plus amples informations. Lorsque le site est publié à une adresse propre par langue, une entrée est saisie par langue.</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aux groupes supérieurs sous forme de GroupReference, c’est-à-dire indiquée au moyen de leur local_id ou de leur global_uri. Seule une véritable relation de subordination y a sa place : le parti faîtier d’un parti cantonal, la hiérarchie au sein de l’exécutif, une sous-commission rattachée à sa commission ou un groupe parlementaire rattaché à son parlement. (parentGroup est généralement utilisé au sein d’un même group_type, mais les liens intertypes sont autorisés, p. ex. groupe parlementaire → parlement.) Les partis qui portent un groupe parlementaire ne lui sont pas supérieurs et ne sont donc pas indiqués ici.</w:t>
            </w:r>
          </w:p>
        </w:tc>
      </w:tr>
      <w:tr>
        <w:tc>
          <w:tcPr/>
          <w:p>
            <w:pPr>
              <w:pStyle w:val="Compact"/>
            </w:pPr>
            <w:r>
              <w:t xml:space="preserve">spatial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Informations de contact (e-mail, site web, réseaux sociaux). Directive : l’e-mail est quasi obligatoire et devrait toujours être fourni lorsqu’il est disponible.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vers les statuts du parti (PDF ou page web ; facultatif pour les partis).</w:t>
            </w:r>
          </w:p>
        </w:tc>
      </w:tr>
      <w:tr>
        <w:tc>
          <w:tcPr/>
          <w:p>
            <w:pPr>
              <w:pStyle w:val="Compact"/>
            </w:pPr>
            <w:r>
              <w:t xml:space="preserve">party_color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Couleur du parti sous forme de valeur hexadécimale (facultatif pour les partis, p. ex. « #FF0000 »).</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9" w:name="exemples-2"/>
    <w:p>
      <w:pPr>
        <w:pStyle w:val="berschrift3"/>
      </w:pPr>
      <w:r>
        <w:t xml:space="preserve">Exemples</w:t>
      </w:r>
    </w:p>
    <w:bookmarkStart w:id="129" w:name="X401ad1e6f27e4436c8a7ce471ff688432e7da62"/>
    <w:p>
      <w:pPr>
        <w:pStyle w:val="berschrift4"/>
      </w:pPr>
      <w:r>
        <w:t xml:space="preserve">Exemple Group : Groupe parlementaire renvoyant au parlement dont il relève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3b9ba0f5594e4a81608c1da0cc4cd1d9a510eed"/>
    <w:p>
      <w:pPr>
        <w:pStyle w:val="berschrift4"/>
      </w:pPr>
      <w:r>
        <w:t xml:space="preserve">Exemple Group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25ee464d661be05b5008b35b8474c45db61afb3"/>
    <w:p>
      <w:pPr>
        <w:pStyle w:val="berschrift4"/>
      </w:pPr>
      <w:r>
        <w:t xml:space="preserve">Exemple Group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50762a5a2252783e9c0449c228947c2c4469446"/>
    <w:p>
      <w:pPr>
        <w:pStyle w:val="berschrift4"/>
      </w:pPr>
      <w:r>
        <w:t xml:space="preserve">Exemple Group : Délégation bilingue auprès d’un organe intercantonal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32"/>
    <w:bookmarkStart w:id="133" w:name="Xf8fc91e5ed55034f2c01896797ebe5213dbd7a7"/>
    <w:p>
      <w:pPr>
        <w:pStyle w:val="berschrift4"/>
      </w:pPr>
      <w:r>
        <w:t xml:space="preserve">Exemple Group : Commission extraparlementaire dotée du pouvoir de décision</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33"/>
    <w:bookmarkStart w:id="134" w:name="Xd0ec23ff6a83521765a8d7fc47e68db61616dca"/>
    <w:p>
      <w:pPr>
        <w:pStyle w:val="berschrift4"/>
      </w:pPr>
      <w:r>
        <w:t xml:space="preserve">Exemple Group : Parti cantonal renvoyant au parti national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6c2a08232834c98788d813714d7061c37ecb860"/>
    <w:p>
      <w:pPr>
        <w:pStyle w:val="berschrift4"/>
      </w:pPr>
      <w:r>
        <w:t xml:space="preserve">Exemple Group : Parlement communal avec référence spatiale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35"/>
    <w:bookmarkStart w:id="136" w:name="Xc907952ba57b0baeff7538c269658513a29a32c"/>
    <w:p>
      <w:pPr>
        <w:pStyle w:val="berschrift4"/>
      </w:pPr>
      <w:r>
        <w:t xml:space="preserve">Exemple Group : Association avec IDE et forme juridique du registre du commerce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36"/>
    <w:bookmarkStart w:id="137" w:name="X18cd64658ee3a2058132627816d9514f18a721a"/>
    <w:p>
      <w:pPr>
        <w:pStyle w:val="berschrift4"/>
      </w:pPr>
      <w:r>
        <w:t xml:space="preserve">Exemple Group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f6be1816f54b813d87031e59b0799615b73e818"/>
    <w:p>
      <w:pPr>
        <w:pStyle w:val="berschrift4"/>
      </w:pPr>
      <w:r>
        <w:t xml:space="preserve">Exemple Group : Groupe d’intérêt avec nom trilingue et contact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38"/>
    <w:bookmarkEnd w:id="139"/>
    <w:bookmarkEnd w:id="140"/>
    <w:bookmarkStart w:id="143" w:name="classe-grouptype"/>
    <w:p>
      <w:pPr>
        <w:pStyle w:val="berschrift2"/>
      </w:pPr>
      <w:r>
        <w:t xml:space="preserve">Classe: GroupType</w:t>
      </w:r>
    </w:p>
    <w:p>
      <w:pPr>
        <w:pStyle w:val="FirstParagraph"/>
      </w:pPr>
      <w:r>
        <w:rPr>
          <w:i/>
          <w:iCs/>
        </w:rPr>
        <w:t xml:space="preserve">Type de groupe (p. ex. parti, commission, parlement, département).</w:t>
      </w:r>
    </w:p>
    <w:bookmarkStart w:id="141"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bookmarkEnd w:id="141"/>
    <w:bookmarkStart w:id="142"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2"/>
    <w:bookmarkEnd w:id="143"/>
    <w:bookmarkStart w:id="169" w:name="enum-grouptypeenum"/>
    <w:p>
      <w:pPr>
        <w:pStyle w:val="berschrift2"/>
      </w:pPr>
      <w:r>
        <w:t xml:space="preserve">Enum: GroupTypeEnum</w:t>
      </w:r>
    </w:p>
    <w:p>
      <w:pPr>
        <w:pStyle w:val="FirstParagraph"/>
      </w:pPr>
      <w:r>
        <w:rPr>
          <w:i/>
          <w:iCs/>
        </w:rPr>
        <w:t xml:space="preserve">Vocabulaire contrôlé pour le type d’un groupe. Il recouvre les conseils et leurs organes, les assemblées, les commissions et délégations, les partis, groupes parlementaires et listes électorales, les unités de l’administration, les tribunaux et organes de surveillance, ainsi que les organisations extérieures à l’État.</w:t>
      </w:r>
    </w:p>
    <w:p>
      <w:pPr>
        <w:pStyle w:val="Textkrper"/>
      </w:pPr>
      <w:r>
        <w:rPr>
          <w:i/>
          <w:iCs/>
        </w:rPr>
        <w:t xml:space="preserve">Un</w:t>
      </w:r>
      <w:r>
        <w:rPr>
          <w:i/>
          <w:iCs/>
        </w:rPr>
        <w:t xml:space="preserve"> </w:t>
      </w:r>
      <w:r>
        <w:rPr>
          <w:rStyle w:val="VerbatimChar"/>
          <w:i/>
          <w:iCs/>
        </w:rPr>
        <w:t xml:space="preserve">group_type</w:t>
      </w:r>
      <w:r>
        <w:rPr>
          <w:i/>
          <w:iCs/>
        </w:rPr>
        <w:t xml:space="preserve"> </w:t>
      </w:r>
      <w:r>
        <w:rPr>
          <w:i/>
          <w:iCs/>
        </w:rPr>
        <w:t xml:space="preserve">doit toujours être renseigné. Ce qui compte est la fonction politique, non la désignation locale ; celle-ci est saisie dans le libellé. Lorsqu’aucune valeur ne convient,</w:t>
      </w:r>
      <w:r>
        <w:rPr>
          <w:i/>
          <w:iCs/>
        </w:rPr>
        <w:t xml:space="preserve"> </w:t>
      </w:r>
      <w:r>
        <w:rPr>
          <w:rStyle w:val="VerbatimChar"/>
          <w:i/>
          <w:iCs/>
        </w:rPr>
        <w:t xml:space="preserve">other</w:t>
      </w:r>
      <w:r>
        <w:rPr>
          <w:i/>
          <w:iCs/>
        </w:rPr>
        <w:t xml:space="preserve"> </w:t>
      </w:r>
      <w:r>
        <w:rPr>
          <w:i/>
          <w:iCs/>
        </w:rPr>
        <w:t xml:space="preserve">est utilisé.</w:t>
      </w:r>
    </w:p>
    <w:p>
      <w:pPr>
        <w:pStyle w:val="Textkrper"/>
      </w:pPr>
      <w:r>
        <w:rPr>
          <w:i/>
          <w:iCs/>
        </w:rPr>
        <w:t xml:space="preserve">La forme juridique ne relève pas de ce vocabulaire, mais de</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4">
        <w:r>
          <w:rPr>
            <w:rStyle w:val="Hyperlink"/>
          </w:rPr>
          <w:t xml:space="preserve">act:GroupTypeEnum</w:t>
        </w:r>
      </w:hyperlink>
    </w:p>
    <w:bookmarkStart w:id="168"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5">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6">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7">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et, au niveau cantonal, la Landsgemeinde. Contrairement à un conseil, elle n’est pas un organe élu.</w:t>
            </w:r>
          </w:p>
        </w:tc>
      </w:tr>
      <w:tr>
        <w:tc>
          <w:tcPr/>
          <w:p>
            <w:pPr>
              <w:pStyle w:val="Compact"/>
            </w:pPr>
          </w:p>
        </w:tc>
        <w:tc>
          <w:tcPr/>
          <w:p>
            <w:pPr>
              <w:pStyle w:val="Compact"/>
            </w:pPr>
            <w:hyperlink ns1:id="rId148">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49">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0">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1">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2">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3">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4">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5">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6">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 p. ex. Departement ou Direktion.</w:t>
            </w:r>
          </w:p>
        </w:tc>
      </w:tr>
      <w:tr>
        <w:tc>
          <w:tcPr/>
          <w:p>
            <w:pPr>
              <w:pStyle w:val="Compact"/>
            </w:pPr>
          </w:p>
        </w:tc>
        <w:tc>
          <w:tcPr/>
          <w:p>
            <w:pPr>
              <w:pStyle w:val="Compact"/>
            </w:pPr>
            <w:hyperlink ns1:id="rId15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 (« Amt »), généralement l’unité située en dessous du département.</w:t>
            </w:r>
          </w:p>
        </w:tc>
      </w:tr>
      <w:tr>
        <w:tc>
          <w:tcPr/>
          <w:p>
            <w:pPr>
              <w:pStyle w:val="Compact"/>
            </w:pPr>
          </w:p>
        </w:tc>
        <w:tc>
          <w:tcPr/>
          <w:p>
            <w:pPr>
              <w:pStyle w:val="Compact"/>
            </w:pPr>
            <w:hyperlink ns1:id="rId158">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59">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portant sur un thème : aussi bien l’intergroupe parlementaire, au sein duquel des membres du conseil se réunissent par-delà les groupes, que le groupe d’intérêts issu de la société civile.</w:t>
            </w:r>
          </w:p>
        </w:tc>
      </w:tr>
      <w:tr>
        <w:tc>
          <w:tcPr/>
          <w:p>
            <w:pPr>
              <w:pStyle w:val="Compact"/>
            </w:pPr>
          </w:p>
        </w:tc>
        <w:tc>
          <w:tcPr/>
          <w:p>
            <w:pPr>
              <w:pStyle w:val="Compact"/>
            </w:pPr>
            <w:hyperlink ns1:id="rId160">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Organe indépendant de surveillance ou de contrôle qui n’appartient pas à l’organe surveillé et ne lui fait pas rapport (p. ex. Contrôle fédéral des finances CDF et contrôles cantonaux des finances, Autorité de surveillance du Ministère public de la Confédération AS-MPC, Autorité fédérale de surveillance des marchés financiers FINMA, organes de médiation).</w:t>
            </w:r>
          </w:p>
        </w:tc>
      </w:tr>
      <w:tr>
        <w:tc>
          <w:tcPr/>
          <w:p>
            <w:pPr>
              <w:pStyle w:val="Compact"/>
            </w:pPr>
          </w:p>
        </w:tc>
        <w:tc>
          <w:tcPr/>
          <w:p>
            <w:pPr>
              <w:pStyle w:val="Compact"/>
            </w:pPr>
            <w:hyperlink ns1:id="rId161">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2">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7">
              <w:r>
                <w:rPr>
                  <w:rStyle w:val="Hyperlink"/>
                </w:rPr>
                <w:t xml:space="preserve">act:enum/group_type/other</w:t>
              </w:r>
            </w:hyperlink>
          </w:p>
        </w:tc>
      </w:tr>
    </w:tbl>
    <w:bookmarkEnd w:id="168"/>
    <w:p>
      <w:r>
        <w:br w:type="page"/>
      </w:r>
    </w:p>
    <w:bookmarkEnd w:id="169"/>
    <w:bookmarkEnd w:id="170"/>
    <w:bookmarkStart w:id="197"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 Qu’une circonscription soit identifiable de la sorte dépend de sa coïncidence avec une unité spatiale officielle : dans le canton de Bâle-Ville, les circonscriptions de Riehen et de Bettingen sont des communes et disposent d’une ressource LINDAS, tandis que Grossbasel-Ost, Grossbasel-West et Kleinbasel regroupent des quartiers de la commune de Bâle et n’en ont pas. Les circonscriptions sans équivalent officiel reçoivent un identifiant dans l’espace de noms de l’organe qui les publie.</w:t>
      </w:r>
    </w:p>
    <w:bookmarkStart w:id="182"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bookmarkStart w:id="171"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Référence abrégée à une personne, retenant ses caractéristiques au moment de la mise en relation.</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abrégée à un groupe, retenant ses caractéristiques au moment de la mise en relation.</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Circonscription électorale de l’affiliation. Indiquée lorsque le mandat a été obtenu dans une circonscription ; elle est donc rattachée à l’affiliation et non à la personne.</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Rôle de la personne dans l’affiliation ou la fonction.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1"/>
    <w:bookmarkStart w:id="172"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2"/>
    <w:bookmarkStart w:id="181" w:name="exemples-3"/>
    <w:p>
      <w:pPr>
        <w:pStyle w:val="berschrift3"/>
      </w:pPr>
      <w:r>
        <w:t xml:space="preserve">Exemples</w:t>
      </w:r>
    </w:p>
    <w:bookmarkStart w:id="173" w:name="X203890475176b7c002540dc412bdb3c1de4387d"/>
    <w:p>
      <w:pPr>
        <w:pStyle w:val="berschrift4"/>
      </w:pPr>
      <w:r>
        <w:t xml:space="preserve">Exemple Membership : La même personne à un autre niveau, avec une autre circonscription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3"/>
    <w:bookmarkStart w:id="174" w:name="X0f91acac3737af06e2069b9e8e67a6bebc99c7e"/>
    <w:p>
      <w:pPr>
        <w:pStyle w:val="berschrift4"/>
      </w:pPr>
      <w:r>
        <w:t xml:space="preserve">Exemple Membership : Mandat exécutif avec fonction présidentielle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4"/>
    <w:bookmarkStart w:id="175" w:name="X4aa3806fccbf31d4198e8b1f0b377422bdc8b5d"/>
    <w:p>
      <w:pPr>
        <w:pStyle w:val="berschrift4"/>
      </w:pPr>
      <w:r>
        <w:t xml:space="preserve">Exemple Membership : Personne et groupe de la même livraison, avec circonscription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5"/>
    <w:bookmarkStart w:id="176" w:name="X75b9ce56a462c65ede1d068de5dbbf215a2ae59"/>
    <w:p>
      <w:pPr>
        <w:pStyle w:val="berschrift4"/>
      </w:pPr>
      <w:r>
        <w:t xml:space="preserve">Exemple Membership : Mandat en cours sans date de fin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6"/>
    <w:bookmarkStart w:id="177" w:name="X461e3f6919f9b1c0edad6ee70c89071048ad28c"/>
    <w:p>
      <w:pPr>
        <w:pStyle w:val="berschrift4"/>
      </w:pPr>
      <w:r>
        <w:t xml:space="preserve">Exemple Membership : Appartenance à un groupe parlementaire parallèle au mandat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7"/>
    <w:bookmarkStart w:id="178" w:name="X78cf0a1b45398a16cf9055842226733fe3c2f5c"/>
    <w:p>
      <w:pPr>
        <w:pStyle w:val="berschrift4"/>
      </w:pPr>
      <w:r>
        <w:t xml:space="preserve">Exemple Membership : Appartenance à une commission avec sa propre durée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8"/>
    <w:bookmarkStart w:id="179" w:name="Xa0aba1735180765aa5894c3fbe1f531fa0b3768"/>
    <w:p>
      <w:pPr>
        <w:pStyle w:val="berschrift4"/>
      </w:pPr>
      <w:r>
        <w:t xml:space="preserve">Exemple Membership : Affiliation à un parti sans indications temporelles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9"/>
    <w:bookmarkStart w:id="180" w:name="X2c1ac3b5b432eedc4d8eac37aee3521aad6df35"/>
    <w:p>
      <w:pPr>
        <w:pStyle w:val="berschrift4"/>
      </w:pPr>
      <w:r>
        <w:t xml:space="preserve">Exemple Membership : Rôle hors du vocabulaire, désigné dans le role_label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80"/>
    <w:bookmarkEnd w:id="181"/>
    <w:bookmarkEnd w:id="182"/>
    <w:bookmarkStart w:id="187"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bookmarkStart w:id="184"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 La désignation est saisie avec la langue dans laquelle elle est publiée ; lorsqu’elle est publiée en plusieurs langues, une entrée est saisie par langue.</w:t>
            </w:r>
          </w:p>
        </w:tc>
      </w:tr>
    </w:tbl>
    <w:bookmarkStart w:id="183"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83"/>
    <w:bookmarkEnd w:id="184"/>
    <w:bookmarkStart w:id="186"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85"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85"/>
    <w:bookmarkEnd w:id="186"/>
    <w:bookmarkEnd w:id="187"/>
    <w:bookmarkStart w:id="190"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URI:</w:t>
      </w:r>
      <w:r>
        <w:t xml:space="preserve"> </w:t>
      </w:r>
      <w:hyperlink ns1:id="rId188">
        <w:r>
          <w:rPr>
            <w:rStyle w:val="Hyperlink"/>
          </w:rPr>
          <w:t xml:space="preserve">act:RoleEnum</w:t>
        </w:r>
      </w:hyperlink>
    </w:p>
    <w:bookmarkStart w:id="189"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9"/>
    <w:bookmarkEnd w:id="190"/>
    <w:bookmarkStart w:id="196"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bookmarkStart w:id="191"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 Les circonscriptions qui ne correspondent à aucune unité spatiale officielle, par exemple celles qui regroupent des quartiers d’une commune, reçoivent à la place un identifiant dans l’espace de noms de l’organe qui les publie.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Désignation de la circonscription électorale telle qu’elle est publiée par l’organe compétent pour l’élection, avec la langue dans laquelle elle est publiée. Lorsqu’une circonscription porte officiellement un nom dans plusieurs langues, une entrée est saisie par langue.</w:t>
            </w:r>
          </w:p>
        </w:tc>
      </w:tr>
    </w:tbl>
    <w:bookmarkEnd w:id="191"/>
    <w:bookmarkStart w:id="192"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92"/>
    <w:bookmarkStart w:id="195" w:name="exemples-4"/>
    <w:p>
      <w:pPr>
        <w:pStyle w:val="berschrift3"/>
      </w:pPr>
      <w:r>
        <w:t xml:space="preserve">Exemples</w:t>
      </w:r>
    </w:p>
    <w:bookmarkStart w:id="193" w:name="X692775eef9e55c59afa5e48eb0873852f01d046"/>
    <w:p>
      <w:pPr>
        <w:pStyle w:val="berschrift4"/>
      </w:pPr>
      <w:r>
        <w:t xml:space="preserve">Exemple ElectoralDistrict : Circonscription sans unité spatiale officielle</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3"/>
    <w:bookmarkStart w:id="194" w:name="X84ad540d4404906b5822b5e5e638c28b89087c5"/>
    <w:p>
      <w:pPr>
        <w:pStyle w:val="berschrift4"/>
      </w:pPr>
      <w:r>
        <w:t xml:space="preserve">Exemple ElectoralDistrict : Canton comme circonscription, identifié par la ressource LINDAS</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4"/>
    <w:bookmarkEnd w:id="195"/>
    <w:p>
      <w:r>
        <w:br w:type="page"/>
      </w:r>
    </w:p>
    <w:bookmarkEnd w:id="196"/>
    <w:bookmarkEnd w:id="197"/>
    <w:bookmarkStart w:id="262"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98">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 ce qui permet des analyses, p. ex. à l’aide de codes NOGA. C’est le format d’échange d’eCH-0108 qui est saisi, soit</w:t>
      </w:r>
      <w:r>
        <w:t xml:space="preserve"> </w:t>
      </w:r>
      <w:r>
        <w:rPr>
          <w:rStyle w:val="VerbatimChar"/>
        </w:rPr>
        <w:t xml:space="preserve">CHE</w:t>
      </w:r>
      <w:r>
        <w:t xml:space="preserve"> </w:t>
      </w:r>
      <w:r>
        <w:t xml:space="preserve">suivi de neuf chiffres sans séparateurs (</w:t>
      </w:r>
      <w:r>
        <w:rPr>
          <w:rStyle w:val="VerbatimChar"/>
        </w:rPr>
        <w:t xml:space="preserve">CHE106063525</w:t>
      </w:r>
      <w:r>
        <w:t xml:space="preserve">).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14"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bookmarkStart w:id="200"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Référence abrégée à une personne, retenant ses caractéristiques au moment de la mise en relation.</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Type de lien d’intérêts (activité professionnelle, mandat politique, association).</w:t>
            </w:r>
          </w:p>
        </w:tc>
      </w:tr>
      <w:tr>
        <w:tc>
          <w:tcPr/>
          <w:p>
            <w:pPr>
              <w:pStyle w:val="Compact"/>
            </w:pPr>
            <w:r>
              <w:t xml:space="preserve">organization_name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de l’organisation ou de l’entreprise.</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p>
            <w:pPr>
              <w:pStyle w:val="Compact"/>
            </w:pPr>
            <w:r>
              <w:t xml:space="preserve">organization_address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Adresse de l’organisation.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Forme juridique de l’organisation. Voir le vocabulaire contrôlé :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l’activité est rémunérée.</w:t>
            </w:r>
          </w:p>
        </w:tc>
      </w:tr>
      <w:tr>
        <w:tc>
          <w:tcPr>
            <w:shd w:val="clear" w:color="auto" w:fill="F2F2F2"/>
          </w:tcPr>
          <w:p>
            <w:pPr>
              <w:pStyle w:val="Compact"/>
            </w:pPr>
            <w:r>
              <w:t xml:space="preserve">committee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Comité ou organe au sein de l’organisation (p. ex. conseil d’administration, conseil de fondation, comité directeur, conseil de surveillance, comité consultatif, direction).</w:t>
            </w:r>
          </w:p>
        </w:tc>
      </w:tr>
      <w:tr>
        <w:tc>
          <w:tcPr/>
          <w:p>
            <w:pPr>
              <w:pStyle w:val="Compact"/>
            </w:pPr>
            <w:r>
              <w:t xml:space="preserve">function_role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Fonction ou rôle dans l’organisation (p. ex. président/e, vice-président/e, membre, délégué, directeur/directrice, conseiller/ère).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99"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99"/>
    <w:bookmarkEnd w:id="200"/>
    <w:bookmarkStart w:id="201"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01"/>
    <w:bookmarkStart w:id="213" w:name="exemples-5"/>
    <w:p>
      <w:pPr>
        <w:pStyle w:val="berschrift3"/>
      </w:pPr>
      <w:r>
        <w:t xml:space="preserve">Exemples</w:t>
      </w:r>
    </w:p>
    <w:bookmarkStart w:id="202" w:name="X5abd729f1e392997beab4190f23f57be9c6fed0"/>
    <w:p>
      <w:pPr>
        <w:pStyle w:val="berschrift4"/>
      </w:pPr>
      <w:r>
        <w:t xml:space="preserve">Exemple InterestLink : Société propre, dirigée à titre opérationnel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rPr>
          <w:rStyle w:val="AttributeTok"/>
        </w:rPr>
        <w:t xml:space="preserve"> Geschäftsleitung</w:t>
      </w:r>
      <w:r>
        <w:br/>
      </w:r>
      <w:r>
        <w:rPr>
          <w:rStyle w:val="AttributeTok"/>
        </w:rPr>
        <w:t xml:space="preserve">  </w:t>
      </w:r>
      <w:r>
        <w:rPr>
          <w:rStyle w:val="FunctionTok"/>
        </w:rPr>
        <w:t xml:space="preserve">function_role</w:t>
      </w:r>
      <w:r>
        <w:rPr>
          <w:rStyle w:val="KeywordTok"/>
        </w:rPr>
        <w:t xml:space="preserve">:</w:t>
      </w:r>
      <w:r>
        <w:rPr>
          <w:rStyle w:val="AttributeTok"/>
        </w:rPr>
        <w:t xml:space="preserve"> Geschäftsführer</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2"/>
    <w:bookmarkStart w:id="203" w:name="X91318d8e5b0922f16187c18333c6d64c0a6548e"/>
    <w:p>
      <w:pPr>
        <w:pStyle w:val="berschrift4"/>
      </w:pPr>
      <w:r>
        <w:t xml:space="preserve">Exemple InterestLink : Présidence non rémunérée d’une alliance politique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act:il_burkart_010</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Allianz Sicherheit Schweiz, Baden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3"/>
    <w:bookmarkStart w:id="204" w:name="Xa9f3fc91555379c5a164d1839a029690eac0b85"/>
    <w:p>
      <w:pPr>
        <w:pStyle w:val="berschrift4"/>
      </w:pPr>
      <w:r>
        <w:t xml:space="preserve">Exemple InterestLink : Mandat d’administrateur dans une holding</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act:il_burkart_002</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Birchmeier Holding AG, Döttingen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4"/>
    <w:bookmarkStart w:id="205" w:name="X0a62c968f842d8be7924e5748430a7f65f71b9a"/>
    <w:p>
      <w:pPr>
        <w:pStyle w:val="berschrift4"/>
      </w:pPr>
      <w:r>
        <w:t xml:space="preserve">Exemple InterestLink : Mandat d’administrateur dans une société immobilière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act:il_burkart_003</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Bovida Real Estate AG, Baar</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5"/>
    <w:bookmarkStart w:id="206" w:name="X7e6614ab743318f1b88eb643de2352e15b06f93"/>
    <w:p>
      <w:pPr>
        <w:pStyle w:val="berschrift4"/>
      </w:pPr>
      <w:r>
        <w:t xml:space="preserve">Exemple InterestLink : Affiliation à une association de branche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act:il_burkart_009</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6"/>
    <w:bookmarkStart w:id="207" w:name="X155fca90d3df9b4de1734eae9c844fc32997025"/>
    <w:p>
      <w:pPr>
        <w:pStyle w:val="berschrift4"/>
      </w:pPr>
      <w:r>
        <w:t xml:space="preserve">Exemple InterestLink : Mandat au conseil de fondation avec IDE de l’organisation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Stiftungsrat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Vizepräsident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7"/>
    <w:bookmarkStart w:id="208" w:name="Xe0b031b48eecbb828a438f10f5b2913941098c3"/>
    <w:p>
      <w:pPr>
        <w:pStyle w:val="berschrift4"/>
      </w:pPr>
      <w:r>
        <w:t xml:space="preserve">Exemple InterestLink : Mandat au comité consultatif sans fonction d’organe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act:il_burkart_008</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Stiebel Eltron AG, Lupfig</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Beirat</w:t>
      </w:r>
      <w:r>
        <w:br/>
      </w:r>
      <w:r>
        <w:rPr>
          <w:rStyle w:val="AttributeTok"/>
        </w:rPr>
        <w:t xml:space="preserve">  </w:t>
      </w:r>
      <w:r>
        <w:rPr>
          <w:rStyle w:val="FunctionTok"/>
        </w:rPr>
        <w:t xml:space="preserve">function_role</w:t>
      </w:r>
      <w:r>
        <w:rPr>
          <w:rStyle w:val="KeywordTok"/>
        </w:rPr>
        <w:t xml:space="preserve">:</w:t>
      </w:r>
      <w:r>
        <w:rPr>
          <w:rStyle w:val="AttributeTok"/>
        </w:rPr>
        <w:t xml:space="preserve"> Beirat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8"/>
    <w:bookmarkStart w:id="209" w:name="X78983c3d53b59061507c4c4d8a296ebc9f7d189"/>
    <w:p>
      <w:pPr>
        <w:pStyle w:val="berschrift4"/>
      </w:pPr>
      <w:r>
        <w:t xml:space="preserve">Exemple InterestLink : Participation bénévole à l’association porteuse d’un grand projet</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act:il_burkart_011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Verein Landesausstellung Svizra27, Aarau</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9"/>
    <w:bookmarkStart w:id="210" w:name="X5ab4ddbc3671115a4cc891ef5229028560ea3ec"/>
    <w:p>
      <w:pPr>
        <w:pStyle w:val="berschrift4"/>
      </w:pPr>
      <w:r>
        <w:t xml:space="preserve">Exemple InterestLink : Présidence d’une association économique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Zentralvorstand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0"/>
    <w:bookmarkStart w:id="211" w:name="X3b499cf1bce36ae5365540ad3aecb5be08b8b42"/>
    <w:p>
      <w:pPr>
        <w:pStyle w:val="berschrift4"/>
      </w:pPr>
      <w:r>
        <w:t xml:space="preserve">Exemple InterestLink : Présidence d’un parti national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act:il_burkart_006</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FDP.Die Liberalen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1"/>
    <w:bookmarkStart w:id="212" w:name="X6cc3eb329b68aee0ca8b6fb7b031717990de608"/>
    <w:p>
      <w:pPr>
        <w:pStyle w:val="berschrift4"/>
      </w:pPr>
      <w:r>
        <w:t xml:space="preserve">Exemple InterestLink : Mandat d’administrateur dans une entreprise technologique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act:il_burkart_004</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ELCA Group SA, Lausanne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2"/>
    <w:bookmarkEnd w:id="213"/>
    <w:bookmarkEnd w:id="214"/>
    <w:bookmarkStart w:id="220"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URI:</w:t>
      </w:r>
      <w:r>
        <w:t xml:space="preserve"> </w:t>
      </w:r>
      <w:hyperlink ns1:id="rId215">
        <w:r>
          <w:rPr>
            <w:rStyle w:val="Hyperlink"/>
          </w:rPr>
          <w:t xml:space="preserve">act:InterestTypeEnum</w:t>
        </w:r>
      </w:hyperlink>
    </w:p>
    <w:bookmarkStart w:id="219"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216">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217">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18">
              <w:r>
                <w:rPr>
                  <w:rStyle w:val="Hyperlink"/>
                </w:rPr>
                <w:t xml:space="preserve">act:enum/interest_type/association</w:t>
              </w:r>
            </w:hyperlink>
          </w:p>
        </w:tc>
      </w:tr>
    </w:tbl>
    <w:bookmarkEnd w:id="219"/>
    <w:bookmarkEnd w:id="220"/>
    <w:bookmarkStart w:id="261" w:name="enum-legalformenum"/>
    <w:p>
      <w:pPr>
        <w:pStyle w:val="berschrift2"/>
      </w:pPr>
      <w:r>
        <w:t xml:space="preserve">Enum: LegalFormEnum</w:t>
      </w:r>
    </w:p>
    <w:p>
      <w:pPr>
        <w:pStyle w:val="FirstParagraph"/>
      </w:pPr>
      <w:r>
        <w:rPr>
          <w:i/>
          <w:iCs/>
        </w:rPr>
        <w:t xml:space="preserve">Formes juridiques selon la liste de codes publiée par l’Office fédéral de la statistique sur la plateforme I14Y, conforme à eCH-0108 (données de base des entreprises et registre des entreprises). Voir https://register.ld.admin.ch/i14y/concept/legalForm</w:t>
      </w:r>
    </w:p>
    <w:p>
      <w:pPr>
        <w:pStyle w:val="Textkrper"/>
      </w:pPr>
      <w:r>
        <w:t xml:space="preserve">URI:</w:t>
      </w:r>
      <w:r>
        <w:t xml:space="preserve"> </w:t>
      </w:r>
      <w:hyperlink ns1:id="rId221">
        <w:r>
          <w:rPr>
            <w:rStyle w:val="Hyperlink"/>
          </w:rPr>
          <w:t xml:space="preserve">act:LegalFormEnum</w:t>
        </w:r>
      </w:hyperlink>
    </w:p>
    <w:bookmarkStart w:id="260"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22">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23">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24">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25">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26">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27">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28">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29">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30">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31">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32">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33">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34">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35">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36">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37">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38">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39">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40">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41">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42">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43">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44">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45">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46">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47">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48">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49">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50">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51">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52">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53">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54">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55">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56">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57">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58">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59">
              <w:r>
                <w:rPr>
                  <w:rStyle w:val="Hyperlink"/>
                </w:rPr>
                <w:t xml:space="preserve">https://register.ld.admin.ch/i14y/concept/legalForm/0571</w:t>
              </w:r>
            </w:hyperlink>
          </w:p>
        </w:tc>
      </w:tr>
    </w:tbl>
    <w:bookmarkEnd w:id="260"/>
    <w:p>
      <w:r>
        <w:br w:type="page"/>
      </w:r>
    </w:p>
    <w:bookmarkEnd w:id="261"/>
    <w:bookmarkEnd w:id="262"/>
    <w:bookmarkStart w:id="288" w:name="éléments-partagés"/>
    <w:p>
      <w:pPr>
        <w:pStyle w:val="berschrift1"/>
      </w:pPr>
      <w:r>
        <w:t xml:space="preserve">Éléments partagés</w:t>
      </w:r>
    </w:p>
    <w:bookmarkStart w:id="263"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p>
      <w:pPr>
        <w:pStyle w:val="FirstParagraph"/>
      </w:pPr>
      <w:r>
        <w:t xml:space="preserve">Contrairement à une entité, une référence n’est pas identifiée en propre – elle ne fait que désigner une entité identifiée. C’est pourquoi le</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que l’identifiant local de l’entité référencée indique celui-ci ; il est résolu au sein de la même livraison. Au-delà de la livraison, c’est le</w:t>
      </w:r>
      <w:r>
        <w:t xml:space="preserve"> </w:t>
      </w:r>
      <w:r>
        <w:rPr>
          <w:rStyle w:val="VerbatimChar"/>
        </w:rPr>
        <w:t xml:space="preserve">global_uri</w:t>
      </w:r>
      <w:r>
        <w:t xml:space="preserve"> </w:t>
      </w:r>
      <w:r>
        <w:t xml:space="preserve">qui fait le renvoi.</w:t>
      </w:r>
    </w:p>
    <w:bookmarkEnd w:id="263"/>
    <w:bookmarkStart w:id="267" w:name="classe-personreference"/>
    <w:p>
      <w:pPr>
        <w:pStyle w:val="berschrift2"/>
      </w:pPr>
      <w:r>
        <w:t xml:space="preserve">Classe: PersonReference</w:t>
      </w:r>
    </w:p>
    <w:p>
      <w:pPr>
        <w:pStyle w:val="FirstParagraph"/>
      </w:pPr>
      <w:r>
        <w:rPr>
          <w:i/>
          <w:iCs/>
        </w:rPr>
        <w:t xml:space="preserve">Référence abrégée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265"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long facultatif comprenant les titres académiques et le nom officiel complet (par ex. « Dr. Maria Muster-Beispiel »).</w:t>
            </w:r>
          </w:p>
        </w:tc>
      </w:tr>
      <w:tr>
        <w:tc>
          <w:tcPr/>
          <w:p>
            <w:pPr>
              <w:pStyle w:val="Compact"/>
            </w:pPr>
            <w:r>
              <w:t xml:space="preserve">group_label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de l’organe/du groupe au moment de la liaison.</w:t>
            </w:r>
          </w:p>
        </w:tc>
      </w:tr>
    </w:tbl>
    <w:bookmarkStart w:id="264"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64"/>
    <w:bookmarkEnd w:id="265"/>
    <w:bookmarkStart w:id="266"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66"/>
    <w:bookmarkEnd w:id="267"/>
    <w:bookmarkStart w:id="271" w:name="classe-groupreference"/>
    <w:p>
      <w:pPr>
        <w:pStyle w:val="berschrift2"/>
      </w:pPr>
      <w:r>
        <w:t xml:space="preserve">Classe: GroupReference</w:t>
      </w:r>
    </w:p>
    <w:p>
      <w:pPr>
        <w:pStyle w:val="FirstParagraph"/>
      </w:pPr>
      <w:r>
        <w:rPr>
          <w:i/>
          <w:iCs/>
        </w:rPr>
        <w:t xml:space="preserve">Référence abrégée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269"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bl>
    <w:bookmarkStart w:id="268" w:name="contraintes-5"/>
    <w:p>
      <w:pPr>
        <w:pStyle w:val="berschrift5"/>
      </w:pPr>
      <w:r>
        <w:t xml:space="preserve">Contraintes</w:t>
      </w:r>
    </w:p>
    <w:p>
      <w:pPr>
        <w:pStyle w:val="FirstParagraph"/>
      </w:pPr>
      <w:r>
        <w:t xml:space="preserve">Au moins l’un des champs suivants doit être renseigné :</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68"/>
    <w:bookmarkEnd w:id="269"/>
    <w:bookmarkStart w:id="270"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70"/>
    <w:bookmarkEnd w:id="271"/>
    <w:bookmarkStart w:id="274" w:name="classes-utilisées-à-plusieurs-reprises"/>
    <w:p>
      <w:pPr>
        <w:pStyle w:val="berschrift2"/>
      </w:pPr>
      <w:r>
        <w:t xml:space="preserve">Classes utilisées à plusieurs reprises</w:t>
      </w:r>
    </w:p>
    <w:p>
      <w:pPr>
        <w:pStyle w:val="FirstParagraph"/>
      </w:pPr>
      <w:r>
        <w:t xml:space="preserve">Une adresse est rédigée dans</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et</w:t>
      </w:r>
      <w:r>
        <w:t xml:space="preserve"> </w:t>
      </w:r>
      <w:r>
        <w:rPr>
          <w:rStyle w:val="VerbatimChar"/>
        </w:rPr>
        <w:t xml:space="preserve">country</w:t>
      </w:r>
      <w:r>
        <w:t xml:space="preserve"> </w:t>
      </w:r>
      <w:r>
        <w:t xml:space="preserve">et peut renvoyer, au moyen d’</w:t>
      </w:r>
      <w:r>
        <w:rPr>
          <w:rStyle w:val="VerbatimChar"/>
        </w:rPr>
        <w:t xml:space="preserve">address_uri</w:t>
      </w:r>
      <w:r>
        <w:t xml:space="preserve">, au Répertoire officiel des adresses de bâtiments de swisstopo. Le dernier nombre de cette URI est l’EGAID, l’identifiant fédéral d’adresse de bâtiment ;</w:t>
      </w:r>
      <w:r>
        <w:t xml:space="preserve"> </w:t>
      </w:r>
      <w:r>
        <w:rPr>
          <w:rStyle w:val="VerbatimChar"/>
        </w:rPr>
        <w:t xml:space="preserve">https://geo.ld.admin.ch/location/address/101009806</w:t>
      </w:r>
      <w:r>
        <w:t xml:space="preserve"> </w:t>
      </w:r>
      <w:r>
        <w:t xml:space="preserve">désigne ainsi « Rue de Genève 17, 1003 Lausanne » en tant qu’adresse de bâtiment officiellement répertoriée.</w:t>
      </w:r>
    </w:p>
    <w:p>
      <w:pPr>
        <w:pStyle w:val="Textkrper"/>
      </w:pPr>
      <w:r>
        <w:rPr>
          <w:rStyle w:val="VerbatimChar"/>
        </w:rPr>
        <w:t xml:space="preserve">address_uri</w:t>
      </w:r>
      <w:r>
        <w:t xml:space="preserve"> </w:t>
      </w:r>
      <w:r>
        <w:t xml:space="preserve">est facultatif. L’adresse rédigée seule est admise, mais le renvoi au moyen de l’EGAID est préférable : celle-ci constitue un identifiant univoque et stable dans le temps, alors que les noms de rue changent, que les communes fusionnent et que les numéros postaux sont redécoupés.</w:t>
      </w:r>
    </w:p>
    <w:p>
      <w:pPr>
        <w:pStyle w:val="Textkrper"/>
      </w:pPr>
      <w:r>
        <w:t xml:space="preserve">Pour obtenir l’EGAID, on peut utiliser l’</w:t>
      </w:r>
      <w:hyperlink ns1:id="rId272">
        <w:r>
          <w:rPr>
            <w:rStyle w:val="Hyperlink"/>
          </w:rPr>
          <w:t xml:space="preserve">API de recherche de geo.admin.ch</w:t>
        </w:r>
      </w:hyperlink>
      <w:r>
        <w:t xml:space="preserve"> </w:t>
      </w:r>
      <w:r>
        <w:t xml:space="preserve">ou procéder à un rapprochement avec le</w:t>
      </w:r>
      <w:r>
        <w:t xml:space="preserve"> </w:t>
      </w:r>
      <w:hyperlink ns1:id="rId273">
        <w:r>
          <w:rPr>
            <w:rStyle w:val="Hyperlink"/>
          </w:rPr>
          <w:t xml:space="preserve">Répertoire officiel des adresses de bâtiments</w:t>
        </w:r>
      </w:hyperlink>
      <w:r>
        <w:t xml:space="preserve">. Le résultat est saisi dans</w:t>
      </w:r>
      <w:r>
        <w:t xml:space="preserve"> </w:t>
      </w:r>
      <w:r>
        <w:rPr>
          <w:rStyle w:val="VerbatimChar"/>
        </w:rPr>
        <w:t xml:space="preserve">address_uri</w:t>
      </w:r>
      <w:r>
        <w:t xml:space="preserve">.</w:t>
      </w:r>
    </w:p>
    <w:bookmarkEnd w:id="274"/>
    <w:bookmarkStart w:id="281" w:name="classe-address"/>
    <w:p>
      <w:pPr>
        <w:pStyle w:val="berschrift2"/>
      </w:pPr>
      <w:r>
        <w:t xml:space="preserve">Classe: Address</w:t>
      </w:r>
    </w:p>
    <w:p>
      <w:pPr>
        <w:pStyle w:val="FirstParagraph"/>
      </w:pPr>
      <w:r>
        <w:rPr>
          <w:i/>
          <w:iCs/>
        </w:rPr>
        <w:t xml:space="preserve">Une adresse avec un type (p. ex. adresse privée, adresse professionnelle) et une valeur.</w:t>
      </w:r>
    </w:p>
    <w:bookmarkStart w:id="276"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officiel des adresses de bâtiments (swisstopo). Le dernier segment de l’URI est l’EGAID, l’identifiant fédéral d’adresse de bâtiment de ce répertoire. Exemple d’URI valide : https://geo.ld.admin.ch/location/address/101904050 — le même répertoire est consultable comme couche cartographique à l’adresse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75" w:name="contraintes-6"/>
    <w:p>
      <w:pPr>
        <w:pStyle w:val="berschrift5"/>
      </w:pPr>
      <w:r>
        <w:t xml:space="preserve">Contraintes</w:t>
      </w:r>
    </w:p>
    <w:p>
      <w:pPr>
        <w:pStyle w:val="FirstParagraph"/>
      </w:pPr>
      <w:r>
        <w:t xml:space="preserve">Au moins l’un des champs suivants doit être renseigné :</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75"/>
    <w:bookmarkEnd w:id="276"/>
    <w:bookmarkStart w:id="277"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77"/>
    <w:bookmarkStart w:id="280" w:name="exemples-6"/>
    <w:p>
      <w:pPr>
        <w:pStyle w:val="berschrift3"/>
      </w:pPr>
      <w:r>
        <w:t xml:space="preserve">Exemples</w:t>
      </w:r>
    </w:p>
    <w:bookmarkStart w:id="278" w:name="X406da19ad1b6f8d51add12db1683725b35ea51d"/>
    <w:p>
      <w:pPr>
        <w:pStyle w:val="berschrift4"/>
      </w:pPr>
      <w:r>
        <w:t xml:space="preserve">Exemple Address :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278"/>
    <w:bookmarkStart w:id="279" w:name="X0bf7cec1eb97924cb6f7dfb1e9c64f7d8e19da0"/>
    <w:p>
      <w:pPr>
        <w:pStyle w:val="berschrift4"/>
      </w:pPr>
      <w:r>
        <w:t xml:space="preserve">Exemple Address :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279"/>
    <w:bookmarkEnd w:id="280"/>
    <w:bookmarkEnd w:id="281"/>
    <w:bookmarkStart w:id="284" w:name="enum-addresstypeenum"/>
    <w:p>
      <w:pPr>
        <w:pStyle w:val="berschrift2"/>
      </w:pPr>
      <w:r>
        <w:t xml:space="preserve">Enum: AddressTypeEnum</w:t>
      </w:r>
    </w:p>
    <w:p>
      <w:pPr>
        <w:pStyle w:val="FirstParagraph"/>
      </w:pPr>
      <w:r>
        <w:rPr>
          <w:i/>
          <w:iCs/>
        </w:rPr>
        <w:t xml:space="preserve">Types d’adresses.</w:t>
      </w:r>
    </w:p>
    <w:p>
      <w:pPr>
        <w:pStyle w:val="Textkrper"/>
      </w:pPr>
      <w:r>
        <w:t xml:space="preserve">URI:</w:t>
      </w:r>
      <w:r>
        <w:t xml:space="preserve"> </w:t>
      </w:r>
      <w:hyperlink ns1:id="rId282">
        <w:r>
          <w:rPr>
            <w:rStyle w:val="Hyperlink"/>
          </w:rPr>
          <w:t xml:space="preserve">act:AddressTypeEnum</w:t>
        </w:r>
      </w:hyperlink>
    </w:p>
    <w:bookmarkStart w:id="283"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83"/>
    <w:bookmarkEnd w:id="284"/>
    <w:bookmarkStart w:id="287"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bookmarkStart w:id="285"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85"/>
    <w:bookmarkStart w:id="286"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86"/>
    <w:p>
      <w:r>
        <w:br w:type="page"/>
      </w:r>
    </w:p>
    <w:bookmarkEnd w:id="287"/>
    <w:bookmarkEnd w:id="288"/>
    <w:bookmarkStart w:id="304" w:name="annexe-a-références-et-bibliographie"/>
    <w:p>
      <w:pPr>
        <w:pStyle w:val="berschrift1"/>
      </w:pPr>
      <w:r>
        <w:t xml:space="preserve">Annexe A – Références et bibliographie</w:t>
      </w:r>
    </w:p>
    <w:p>
      <w:pPr>
        <w:pStyle w:val="FirstParagraph"/>
      </w:pPr>
      <w:r>
        <w:t xml:space="preserve">La version indiquée est celle sur la base de laquelle la présente norme a été élaborée.</w:t>
      </w:r>
    </w:p>
    <w:bookmarkStart w:id="294" w:name="X7396f4b7d2ae2a39c8f1ae22fee601846a8c38e"/>
    <w:p>
      <w:pPr>
        <w:pStyle w:val="berschrift2"/>
      </w:pPr>
      <w:r>
        <w:t xml:space="preserve">Normes du groupe spécialisé « Affaires politiques »</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 Métaprocessus relatifs aux affaires politiques, version 1.0.0 – éléments de données communs :</w:t>
            </w:r>
            <w:r>
              <w:t xml:space="preserve"> </w:t>
            </w:r>
            <w:hyperlink ns1:id="rId289">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 Fonctionnement public des conseils, version 1.0.0 :</w:t>
            </w:r>
            <w:r>
              <w:t xml:space="preserve"> </w:t>
            </w:r>
            <w:hyperlink ns1:id="rId290">
              <w:r>
                <w:rPr>
                  <w:rStyle w:val="Hyperlink"/>
                </w:rPr>
                <w:t xml:space="preserve">https://www.ech.ch/de/ech/ech-0293</w:t>
              </w:r>
            </w:hyperlink>
          </w:p>
        </w:tc>
      </w:tr>
      <w:tr>
        <w:tc>
          <w:tcPr/>
          <w:p>
            <w:pPr>
              <w:pStyle w:val="Compact"/>
            </w:pPr>
            <w:r>
              <w:t xml:space="preserve">[eCH-0295]</w:t>
            </w:r>
          </w:p>
        </w:tc>
        <w:tc>
          <w:tcPr/>
          <w:p>
            <w:pPr>
              <w:pStyle w:val="Compact"/>
            </w:pPr>
            <w:r>
              <w:t xml:space="preserve">eCH-0295 : Affaires parlementaires, version 1.0.0 :</w:t>
            </w:r>
            <w:r>
              <w:t xml:space="preserve"> </w:t>
            </w:r>
            <w:hyperlink ns1:id="rId291">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version 1.0.0 :</w:t>
            </w:r>
            <w:r>
              <w:t xml:space="preserve"> </w:t>
            </w:r>
            <w:hyperlink ns1:id="rId292">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version 1.0.0 :</w:t>
            </w:r>
            <w:r>
              <w:t xml:space="preserve"> </w:t>
            </w:r>
            <w:hyperlink ns1:id="rId293">
              <w:r>
                <w:rPr>
                  <w:rStyle w:val="Hyperlink"/>
                </w:rPr>
                <w:t xml:space="preserve">https://www.ech.ch/de/ech/ech-0297</w:t>
              </w:r>
            </w:hyperlink>
          </w:p>
        </w:tc>
      </w:tr>
    </w:tbl>
    <w:bookmarkEnd w:id="294"/>
    <w:bookmarkStart w:id="297" w:name="autres-normes-ech"/>
    <w:p>
      <w:pPr>
        <w:pStyle w:val="berschrift2"/>
      </w:pPr>
      <w:r>
        <w:t xml:space="preserve">Autres normes eCH</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 Datenstandard Personendaten, version 9.0.0 (approuvée, 27.07.2023). Base des types de noms dans</w:t>
            </w:r>
            <w:r>
              <w:t xml:space="preserve"> </w:t>
            </w:r>
            <w:r>
              <w:rPr>
                <w:rStyle w:val="VerbatimChar"/>
              </w:rPr>
              <w:t xml:space="preserve">NameTypeEnum</w:t>
            </w:r>
            <w:r>
              <w:t xml:space="preserve"> </w:t>
            </w:r>
            <w:r>
              <w:t xml:space="preserve">(</w:t>
            </w:r>
            <w:r>
              <w:rPr>
                <w:rStyle w:val="VerbatimChar"/>
              </w:rPr>
              <w:t xml:space="preserve">personNameData</w:t>
            </w:r>
            <w:r>
              <w:t xml:space="preserve">) :</w:t>
            </w:r>
            <w:r>
              <w:t xml:space="preserve"> </w:t>
            </w:r>
            <w:hyperlink ns1:id="rId295">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 Datenstandard: Unternehmensstammdaten und Unternehmensregister, version 6.0.0 (approuvée, 04.04.2024). Définit le format d’échange de l’IDE (</w:t>
            </w:r>
            <w:r>
              <w:rPr>
                <w:rStyle w:val="VerbatimChar"/>
              </w:rPr>
              <w:t xml:space="preserve">organization_uid</w:t>
            </w:r>
            <w:r>
              <w:t xml:space="preserve">) et constitue la norme à laquelle la liste de codes des formes juridiques de</w:t>
            </w:r>
            <w:r>
              <w:t xml:space="preserve"> </w:t>
            </w:r>
            <w:r>
              <w:rPr>
                <w:rStyle w:val="VerbatimChar"/>
              </w:rPr>
              <w:t xml:space="preserve">LegalFormEnum</w:t>
            </w:r>
            <w:r>
              <w:t xml:space="preserve"> </w:t>
            </w:r>
            <w:r>
              <w:t xml:space="preserve">est conforme :</w:t>
            </w:r>
            <w:r>
              <w:t xml:space="preserve"> </w:t>
            </w:r>
            <w:hyperlink ns1:id="rId296">
              <w:r>
                <w:rPr>
                  <w:rStyle w:val="Hyperlink"/>
                </w:rPr>
                <w:t xml:space="preserve">https://www.ech.ch/de/ech/ech-0108/6.0.0</w:t>
              </w:r>
            </w:hyperlink>
          </w:p>
        </w:tc>
      </w:tr>
    </w:tbl>
    <w:bookmarkEnd w:id="297"/>
    <w:bookmarkStart w:id="303"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Plateforme d’interopérabilité de l’Office fédéral de la statistique. Source des listes de codes pour la forme juridique (</w:t>
            </w:r>
            <w:r>
              <w:rPr>
                <w:rStyle w:val="VerbatimChar"/>
              </w:rPr>
              <w:t xml:space="preserve">LegalFormEnum</w:t>
            </w:r>
            <w:r>
              <w:t xml:space="preserve">) et le sexe (</w:t>
            </w:r>
            <w:r>
              <w:rPr>
                <w:rStyle w:val="VerbatimChar"/>
              </w:rPr>
              <w:t xml:space="preserve">GenderCodeEnum</w:t>
            </w:r>
            <w:r>
              <w:t xml:space="preserve">) :</w:t>
            </w:r>
            <w:r>
              <w:t xml:space="preserve"> </w:t>
            </w:r>
            <w:hyperlink ns1:id="rId298">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 l’administration fédérale suisse. Identifiants des unités spatiales suisses (pays, canton, district, commune) pour</w:t>
            </w:r>
            <w:r>
              <w:t xml:space="preserve"> </w:t>
            </w:r>
            <w:r>
              <w:rPr>
                <w:rStyle w:val="VerbatimChar"/>
              </w:rPr>
              <w:t xml:space="preserve">spatial</w:t>
            </w:r>
            <w:r>
              <w:t xml:space="preserve"> </w:t>
            </w:r>
            <w:r>
              <w:t xml:space="preserve">et</w:t>
            </w:r>
            <w:r>
              <w:t xml:space="preserve"> </w:t>
            </w:r>
            <w:r>
              <w:rPr>
                <w:rStyle w:val="VerbatimChar"/>
              </w:rPr>
              <w:t xml:space="preserve">ElectoralDistrict</w:t>
            </w:r>
            <w:r>
              <w:t xml:space="preserve"> </w:t>
            </w:r>
            <w:r>
              <w:t xml:space="preserve">:</w:t>
            </w:r>
            <w:r>
              <w:t xml:space="preserve"> </w:t>
            </w:r>
            <w:hyperlink ns1:id="rId299">
              <w:r>
                <w:rPr>
                  <w:rStyle w:val="Hyperlink"/>
                </w:rPr>
                <w:t xml:space="preserve">https://ld.admin.ch</w:t>
              </w:r>
            </w:hyperlink>
          </w:p>
        </w:tc>
      </w:tr>
      <w:tr>
        <w:tc>
          <w:tcPr/>
          <w:p>
            <w:pPr>
              <w:pStyle w:val="Compact"/>
            </w:pPr>
            <w:r>
              <w:t xml:space="preserve">[NOGA]</w:t>
            </w:r>
          </w:p>
        </w:tc>
        <w:tc>
          <w:tcPr/>
          <w:p>
            <w:pPr>
              <w:pStyle w:val="Compact"/>
            </w:pPr>
            <w:r>
              <w:t xml:space="preserve">Nomenclature générale des activités économiques de l’Office fédéral de la statistique. Permet des analyses via l’IDE des organisations référencées.</w:t>
            </w:r>
          </w:p>
        </w:tc>
      </w:tr>
      <w:tr>
        <w:tc>
          <w:tcPr>
            <w:shd w:val="clear" w:color="auto" w:fill="F2F2F2"/>
          </w:tcPr>
          <w:p>
            <w:pPr>
              <w:pStyle w:val="Compact"/>
            </w:pPr>
            <w:r>
              <w:t xml:space="preserve">[Wikidata]</w:t>
            </w:r>
          </w:p>
        </w:tc>
        <w:tc>
          <w:tcPr>
            <w:shd w:val="clear" w:color="auto" w:fill="F2F2F2"/>
          </w:tcPr>
          <w:p>
            <w:pPr>
              <w:pStyle w:val="Compact"/>
            </w:pPr>
            <w:r>
              <w:t xml:space="preserve">Base de connaissances libre. IRI d’entité (</w:t>
            </w:r>
            <w:r>
              <w:rPr>
                <w:rStyle w:val="VerbatimChar"/>
              </w:rPr>
              <w:t xml:space="preserve">http://www.wikidata.org/entity/Q…</w:t>
            </w:r>
            <w:r>
              <w:t xml:space="preserve">) dans</w:t>
            </w:r>
            <w:r>
              <w:t xml:space="preserve"> </w:t>
            </w:r>
            <w:r>
              <w:rPr>
                <w:rStyle w:val="VerbatimChar"/>
              </w:rPr>
              <w:t xml:space="preserve">wikidata_uri</w:t>
            </w:r>
            <w:r>
              <w:t xml:space="preserve"> </w:t>
            </w:r>
            <w:r>
              <w:t xml:space="preserve">:</w:t>
            </w:r>
            <w:r>
              <w:t xml:space="preserve"> </w:t>
            </w:r>
            <w:hyperlink ns1:id="rId300">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Vocabulaire commun pour les données structurées. Source de plusieurs affectations</w:t>
            </w:r>
            <w:r>
              <w:t xml:space="preserve"> </w:t>
            </w:r>
            <w:r>
              <w:rPr>
                <w:rStyle w:val="VerbatimChar"/>
              </w:rPr>
              <w:t xml:space="preserve">slot_uri</w:t>
            </w:r>
            <w:r>
              <w:t xml:space="preserve"> </w:t>
            </w:r>
            <w:r>
              <w:t xml:space="preserve">:</w:t>
            </w:r>
            <w:r>
              <w:t xml:space="preserve"> </w:t>
            </w:r>
            <w:hyperlink ns1:id="rId301">
              <w:r>
                <w:rPr>
                  <w:rStyle w:val="Hyperlink"/>
                </w:rPr>
                <w:t xml:space="preserve">https://schema.org</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302">
              <w:r>
                <w:rPr>
                  <w:rStyle w:val="Hyperlink"/>
                </w:rPr>
                <w:t xml:space="preserve">https://linkml.io</w:t>
              </w:r>
            </w:hyperlink>
          </w:p>
        </w:tc>
      </w:tr>
    </w:tbl>
    <w:bookmarkEnd w:id="303"/>
    <w:bookmarkEnd w:id="304"/>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7" Target="act:enum/interest_type/political_office" TargetMode="External" /><Relationship Type="http://schemas.openxmlformats.org/officeDocument/2006/relationships/hyperlink" Id="rId216" Target="act:enum/interest_type/professional_activity" TargetMode="External" /><Relationship Type="http://schemas.openxmlformats.org/officeDocument/2006/relationships/hyperlink" Id="rId272"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9" Target="https://ld.admin.ch" TargetMode="External" /><Relationship Type="http://schemas.openxmlformats.org/officeDocument/2006/relationships/hyperlink" Id="rId28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5" Target="https://ld.ech.ch/schema/0294/actors/InterestTypeEnum" TargetMode="External" /><Relationship Type="http://schemas.openxmlformats.org/officeDocument/2006/relationships/hyperlink" Id="rId221"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2"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2" Target="https://register.ld.admin.ch/i14y/concept/legalForm/0101" TargetMode="External" /><Relationship Type="http://schemas.openxmlformats.org/officeDocument/2006/relationships/hyperlink" Id="rId223" Target="https://register.ld.admin.ch/i14y/concept/legalForm/0103" TargetMode="External" /><Relationship Type="http://schemas.openxmlformats.org/officeDocument/2006/relationships/hyperlink" Id="rId224" Target="https://register.ld.admin.ch/i14y/concept/legalForm/0104" TargetMode="External" /><Relationship Type="http://schemas.openxmlformats.org/officeDocument/2006/relationships/hyperlink" Id="rId225" Target="https://register.ld.admin.ch/i14y/concept/legalForm/0105" TargetMode="External" /><Relationship Type="http://schemas.openxmlformats.org/officeDocument/2006/relationships/hyperlink" Id="rId226" Target="https://register.ld.admin.ch/i14y/concept/legalForm/0106" TargetMode="External" /><Relationship Type="http://schemas.openxmlformats.org/officeDocument/2006/relationships/hyperlink" Id="rId227" Target="https://register.ld.admin.ch/i14y/concept/legalForm/0107" TargetMode="External" /><Relationship Type="http://schemas.openxmlformats.org/officeDocument/2006/relationships/hyperlink" Id="rId228" Target="https://register.ld.admin.ch/i14y/concept/legalForm/0108" TargetMode="External" /><Relationship Type="http://schemas.openxmlformats.org/officeDocument/2006/relationships/hyperlink" Id="rId229" Target="https://register.ld.admin.ch/i14y/concept/legalForm/0109" TargetMode="External" /><Relationship Type="http://schemas.openxmlformats.org/officeDocument/2006/relationships/hyperlink" Id="rId230" Target="https://register.ld.admin.ch/i14y/concept/legalForm/0110" TargetMode="External" /><Relationship Type="http://schemas.openxmlformats.org/officeDocument/2006/relationships/hyperlink" Id="rId231" Target="https://register.ld.admin.ch/i14y/concept/legalForm/0111" TargetMode="External" /><Relationship Type="http://schemas.openxmlformats.org/officeDocument/2006/relationships/hyperlink" Id="rId232" Target="https://register.ld.admin.ch/i14y/concept/legalForm/0113" TargetMode="External" /><Relationship Type="http://schemas.openxmlformats.org/officeDocument/2006/relationships/hyperlink" Id="rId233" Target="https://register.ld.admin.ch/i14y/concept/legalForm/0114" TargetMode="External" /><Relationship Type="http://schemas.openxmlformats.org/officeDocument/2006/relationships/hyperlink" Id="rId234" Target="https://register.ld.admin.ch/i14y/concept/legalForm/0115" TargetMode="External" /><Relationship Type="http://schemas.openxmlformats.org/officeDocument/2006/relationships/hyperlink" Id="rId235" Target="https://register.ld.admin.ch/i14y/concept/legalForm/0116" TargetMode="External" /><Relationship Type="http://schemas.openxmlformats.org/officeDocument/2006/relationships/hyperlink" Id="rId236" Target="https://register.ld.admin.ch/i14y/concept/legalForm/0117" TargetMode="External" /><Relationship Type="http://schemas.openxmlformats.org/officeDocument/2006/relationships/hyperlink" Id="rId237" Target="https://register.ld.admin.ch/i14y/concept/legalForm/0118" TargetMode="External" /><Relationship Type="http://schemas.openxmlformats.org/officeDocument/2006/relationships/hyperlink" Id="rId238" Target="https://register.ld.admin.ch/i14y/concept/legalForm/0119" TargetMode="External" /><Relationship Type="http://schemas.openxmlformats.org/officeDocument/2006/relationships/hyperlink" Id="rId239" Target="https://register.ld.admin.ch/i14y/concept/legalForm/0151" TargetMode="External" /><Relationship Type="http://schemas.openxmlformats.org/officeDocument/2006/relationships/hyperlink" Id="rId240" Target="https://register.ld.admin.ch/i14y/concept/legalForm/0220" TargetMode="External" /><Relationship Type="http://schemas.openxmlformats.org/officeDocument/2006/relationships/hyperlink" Id="rId241" Target="https://register.ld.admin.ch/i14y/concept/legalForm/0221" TargetMode="External" /><Relationship Type="http://schemas.openxmlformats.org/officeDocument/2006/relationships/hyperlink" Id="rId242" Target="https://register.ld.admin.ch/i14y/concept/legalForm/0222" TargetMode="External" /><Relationship Type="http://schemas.openxmlformats.org/officeDocument/2006/relationships/hyperlink" Id="rId243" Target="https://register.ld.admin.ch/i14y/concept/legalForm/0223" TargetMode="External" /><Relationship Type="http://schemas.openxmlformats.org/officeDocument/2006/relationships/hyperlink" Id="rId244" Target="https://register.ld.admin.ch/i14y/concept/legalForm/0224" TargetMode="External" /><Relationship Type="http://schemas.openxmlformats.org/officeDocument/2006/relationships/hyperlink" Id="rId245" Target="https://register.ld.admin.ch/i14y/concept/legalForm/0230" TargetMode="External" /><Relationship Type="http://schemas.openxmlformats.org/officeDocument/2006/relationships/hyperlink" Id="rId246" Target="https://register.ld.admin.ch/i14y/concept/legalForm/0231" TargetMode="External" /><Relationship Type="http://schemas.openxmlformats.org/officeDocument/2006/relationships/hyperlink" Id="rId247" Target="https://register.ld.admin.ch/i14y/concept/legalForm/0232" TargetMode="External" /><Relationship Type="http://schemas.openxmlformats.org/officeDocument/2006/relationships/hyperlink" Id="rId248" Target="https://register.ld.admin.ch/i14y/concept/legalForm/0233" TargetMode="External" /><Relationship Type="http://schemas.openxmlformats.org/officeDocument/2006/relationships/hyperlink" Id="rId249" Target="https://register.ld.admin.ch/i14y/concept/legalForm/0234" TargetMode="External" /><Relationship Type="http://schemas.openxmlformats.org/officeDocument/2006/relationships/hyperlink" Id="rId250" Target="https://register.ld.admin.ch/i14y/concept/legalForm/0302" TargetMode="External" /><Relationship Type="http://schemas.openxmlformats.org/officeDocument/2006/relationships/hyperlink" Id="rId251" Target="https://register.ld.admin.ch/i14y/concept/legalForm/0312" TargetMode="External" /><Relationship Type="http://schemas.openxmlformats.org/officeDocument/2006/relationships/hyperlink" Id="rId252" Target="https://register.ld.admin.ch/i14y/concept/legalForm/0327" TargetMode="External" /><Relationship Type="http://schemas.openxmlformats.org/officeDocument/2006/relationships/hyperlink" Id="rId253" Target="https://register.ld.admin.ch/i14y/concept/legalForm/0328" TargetMode="External" /><Relationship Type="http://schemas.openxmlformats.org/officeDocument/2006/relationships/hyperlink" Id="rId254" Target="https://register.ld.admin.ch/i14y/concept/legalForm/0329" TargetMode="External" /><Relationship Type="http://schemas.openxmlformats.org/officeDocument/2006/relationships/hyperlink" Id="rId255" Target="https://register.ld.admin.ch/i14y/concept/legalForm/0355" TargetMode="External" /><Relationship Type="http://schemas.openxmlformats.org/officeDocument/2006/relationships/hyperlink" Id="rId256" Target="https://register.ld.admin.ch/i14y/concept/legalForm/0361" TargetMode="External" /><Relationship Type="http://schemas.openxmlformats.org/officeDocument/2006/relationships/hyperlink" Id="rId257" Target="https://register.ld.admin.ch/i14y/concept/legalForm/0362" TargetMode="External" /><Relationship Type="http://schemas.openxmlformats.org/officeDocument/2006/relationships/hyperlink" Id="rId258" Target="https://register.ld.admin.ch/i14y/concept/legalForm/0441" TargetMode="External" /><Relationship Type="http://schemas.openxmlformats.org/officeDocument/2006/relationships/hyperlink" Id="rId259"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1"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95" Target="https://www.ech.ch/de/ech/ech-0011/9.0.0" TargetMode="External" /><Relationship Type="http://schemas.openxmlformats.org/officeDocument/2006/relationships/hyperlink" Id="rId296" Target="https://www.ech.ch/de/ech/ech-0108/6.0.0" TargetMode="External" /><Relationship Type="http://schemas.openxmlformats.org/officeDocument/2006/relationships/hyperlink" Id="rId289" Target="https://www.ech.ch/de/ech/ech-0292" TargetMode="External" /><Relationship Type="http://schemas.openxmlformats.org/officeDocument/2006/relationships/hyperlink" Id="rId290" Target="https://www.ech.ch/de/ech/ech-0293" TargetMode="External" /><Relationship Type="http://schemas.openxmlformats.org/officeDocument/2006/relationships/hyperlink" Id="rId291" Target="https://www.ech.ch/de/ech/ech-0295" TargetMode="External" /><Relationship Type="http://schemas.openxmlformats.org/officeDocument/2006/relationships/hyperlink" Id="rId292" Target="https://www.ech.ch/de/ech/ech-0296" TargetMode="External" /><Relationship Type="http://schemas.openxmlformats.org/officeDocument/2006/relationships/hyperlink" Id="rId293"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98"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3" Target="https://www.swisstopo.admin.ch/fr/repertoire-officiel-des-adresses-de-batiments" TargetMode="External" /><Relationship Type="http://schemas.openxmlformats.org/officeDocument/2006/relationships/hyperlink" Id="rId300"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7" Target="act:enum/interest_type/political_office" TargetMode="External" /><Relationship Type="http://schemas.openxmlformats.org/officeDocument/2006/relationships/hyperlink" Id="rId216" Target="act:enum/interest_type/professional_activity" TargetMode="External" /><Relationship Type="http://schemas.openxmlformats.org/officeDocument/2006/relationships/hyperlink" Id="rId272"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9" Target="https://ld.admin.ch" TargetMode="External" /><Relationship Type="http://schemas.openxmlformats.org/officeDocument/2006/relationships/hyperlink" Id="rId28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5" Target="https://ld.ech.ch/schema/0294/actors/InterestTypeEnum" TargetMode="External" /><Relationship Type="http://schemas.openxmlformats.org/officeDocument/2006/relationships/hyperlink" Id="rId221"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2"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2" Target="https://register.ld.admin.ch/i14y/concept/legalForm/0101" TargetMode="External" /><Relationship Type="http://schemas.openxmlformats.org/officeDocument/2006/relationships/hyperlink" Id="rId223" Target="https://register.ld.admin.ch/i14y/concept/legalForm/0103" TargetMode="External" /><Relationship Type="http://schemas.openxmlformats.org/officeDocument/2006/relationships/hyperlink" Id="rId224" Target="https://register.ld.admin.ch/i14y/concept/legalForm/0104" TargetMode="External" /><Relationship Type="http://schemas.openxmlformats.org/officeDocument/2006/relationships/hyperlink" Id="rId225" Target="https://register.ld.admin.ch/i14y/concept/legalForm/0105" TargetMode="External" /><Relationship Type="http://schemas.openxmlformats.org/officeDocument/2006/relationships/hyperlink" Id="rId226" Target="https://register.ld.admin.ch/i14y/concept/legalForm/0106" TargetMode="External" /><Relationship Type="http://schemas.openxmlformats.org/officeDocument/2006/relationships/hyperlink" Id="rId227" Target="https://register.ld.admin.ch/i14y/concept/legalForm/0107" TargetMode="External" /><Relationship Type="http://schemas.openxmlformats.org/officeDocument/2006/relationships/hyperlink" Id="rId228" Target="https://register.ld.admin.ch/i14y/concept/legalForm/0108" TargetMode="External" /><Relationship Type="http://schemas.openxmlformats.org/officeDocument/2006/relationships/hyperlink" Id="rId229" Target="https://register.ld.admin.ch/i14y/concept/legalForm/0109" TargetMode="External" /><Relationship Type="http://schemas.openxmlformats.org/officeDocument/2006/relationships/hyperlink" Id="rId230" Target="https://register.ld.admin.ch/i14y/concept/legalForm/0110" TargetMode="External" /><Relationship Type="http://schemas.openxmlformats.org/officeDocument/2006/relationships/hyperlink" Id="rId231" Target="https://register.ld.admin.ch/i14y/concept/legalForm/0111" TargetMode="External" /><Relationship Type="http://schemas.openxmlformats.org/officeDocument/2006/relationships/hyperlink" Id="rId232" Target="https://register.ld.admin.ch/i14y/concept/legalForm/0113" TargetMode="External" /><Relationship Type="http://schemas.openxmlformats.org/officeDocument/2006/relationships/hyperlink" Id="rId233" Target="https://register.ld.admin.ch/i14y/concept/legalForm/0114" TargetMode="External" /><Relationship Type="http://schemas.openxmlformats.org/officeDocument/2006/relationships/hyperlink" Id="rId234" Target="https://register.ld.admin.ch/i14y/concept/legalForm/0115" TargetMode="External" /><Relationship Type="http://schemas.openxmlformats.org/officeDocument/2006/relationships/hyperlink" Id="rId235" Target="https://register.ld.admin.ch/i14y/concept/legalForm/0116" TargetMode="External" /><Relationship Type="http://schemas.openxmlformats.org/officeDocument/2006/relationships/hyperlink" Id="rId236" Target="https://register.ld.admin.ch/i14y/concept/legalForm/0117" TargetMode="External" /><Relationship Type="http://schemas.openxmlformats.org/officeDocument/2006/relationships/hyperlink" Id="rId237" Target="https://register.ld.admin.ch/i14y/concept/legalForm/0118" TargetMode="External" /><Relationship Type="http://schemas.openxmlformats.org/officeDocument/2006/relationships/hyperlink" Id="rId238" Target="https://register.ld.admin.ch/i14y/concept/legalForm/0119" TargetMode="External" /><Relationship Type="http://schemas.openxmlformats.org/officeDocument/2006/relationships/hyperlink" Id="rId239" Target="https://register.ld.admin.ch/i14y/concept/legalForm/0151" TargetMode="External" /><Relationship Type="http://schemas.openxmlformats.org/officeDocument/2006/relationships/hyperlink" Id="rId240" Target="https://register.ld.admin.ch/i14y/concept/legalForm/0220" TargetMode="External" /><Relationship Type="http://schemas.openxmlformats.org/officeDocument/2006/relationships/hyperlink" Id="rId241" Target="https://register.ld.admin.ch/i14y/concept/legalForm/0221" TargetMode="External" /><Relationship Type="http://schemas.openxmlformats.org/officeDocument/2006/relationships/hyperlink" Id="rId242" Target="https://register.ld.admin.ch/i14y/concept/legalForm/0222" TargetMode="External" /><Relationship Type="http://schemas.openxmlformats.org/officeDocument/2006/relationships/hyperlink" Id="rId243" Target="https://register.ld.admin.ch/i14y/concept/legalForm/0223" TargetMode="External" /><Relationship Type="http://schemas.openxmlformats.org/officeDocument/2006/relationships/hyperlink" Id="rId244" Target="https://register.ld.admin.ch/i14y/concept/legalForm/0224" TargetMode="External" /><Relationship Type="http://schemas.openxmlformats.org/officeDocument/2006/relationships/hyperlink" Id="rId245" Target="https://register.ld.admin.ch/i14y/concept/legalForm/0230" TargetMode="External" /><Relationship Type="http://schemas.openxmlformats.org/officeDocument/2006/relationships/hyperlink" Id="rId246" Target="https://register.ld.admin.ch/i14y/concept/legalForm/0231" TargetMode="External" /><Relationship Type="http://schemas.openxmlformats.org/officeDocument/2006/relationships/hyperlink" Id="rId247" Target="https://register.ld.admin.ch/i14y/concept/legalForm/0232" TargetMode="External" /><Relationship Type="http://schemas.openxmlformats.org/officeDocument/2006/relationships/hyperlink" Id="rId248" Target="https://register.ld.admin.ch/i14y/concept/legalForm/0233" TargetMode="External" /><Relationship Type="http://schemas.openxmlformats.org/officeDocument/2006/relationships/hyperlink" Id="rId249" Target="https://register.ld.admin.ch/i14y/concept/legalForm/0234" TargetMode="External" /><Relationship Type="http://schemas.openxmlformats.org/officeDocument/2006/relationships/hyperlink" Id="rId250" Target="https://register.ld.admin.ch/i14y/concept/legalForm/0302" TargetMode="External" /><Relationship Type="http://schemas.openxmlformats.org/officeDocument/2006/relationships/hyperlink" Id="rId251" Target="https://register.ld.admin.ch/i14y/concept/legalForm/0312" TargetMode="External" /><Relationship Type="http://schemas.openxmlformats.org/officeDocument/2006/relationships/hyperlink" Id="rId252" Target="https://register.ld.admin.ch/i14y/concept/legalForm/0327" TargetMode="External" /><Relationship Type="http://schemas.openxmlformats.org/officeDocument/2006/relationships/hyperlink" Id="rId253" Target="https://register.ld.admin.ch/i14y/concept/legalForm/0328" TargetMode="External" /><Relationship Type="http://schemas.openxmlformats.org/officeDocument/2006/relationships/hyperlink" Id="rId254" Target="https://register.ld.admin.ch/i14y/concept/legalForm/0329" TargetMode="External" /><Relationship Type="http://schemas.openxmlformats.org/officeDocument/2006/relationships/hyperlink" Id="rId255" Target="https://register.ld.admin.ch/i14y/concept/legalForm/0355" TargetMode="External" /><Relationship Type="http://schemas.openxmlformats.org/officeDocument/2006/relationships/hyperlink" Id="rId256" Target="https://register.ld.admin.ch/i14y/concept/legalForm/0361" TargetMode="External" /><Relationship Type="http://schemas.openxmlformats.org/officeDocument/2006/relationships/hyperlink" Id="rId257" Target="https://register.ld.admin.ch/i14y/concept/legalForm/0362" TargetMode="External" /><Relationship Type="http://schemas.openxmlformats.org/officeDocument/2006/relationships/hyperlink" Id="rId258" Target="https://register.ld.admin.ch/i14y/concept/legalForm/0441" TargetMode="External" /><Relationship Type="http://schemas.openxmlformats.org/officeDocument/2006/relationships/hyperlink" Id="rId259"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1"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95" Target="https://www.ech.ch/de/ech/ech-0011/9.0.0" TargetMode="External" /><Relationship Type="http://schemas.openxmlformats.org/officeDocument/2006/relationships/hyperlink" Id="rId296" Target="https://www.ech.ch/de/ech/ech-0108/6.0.0" TargetMode="External" /><Relationship Type="http://schemas.openxmlformats.org/officeDocument/2006/relationships/hyperlink" Id="rId289" Target="https://www.ech.ch/de/ech/ech-0292" TargetMode="External" /><Relationship Type="http://schemas.openxmlformats.org/officeDocument/2006/relationships/hyperlink" Id="rId290" Target="https://www.ech.ch/de/ech/ech-0293" TargetMode="External" /><Relationship Type="http://schemas.openxmlformats.org/officeDocument/2006/relationships/hyperlink" Id="rId291" Target="https://www.ech.ch/de/ech/ech-0295" TargetMode="External" /><Relationship Type="http://schemas.openxmlformats.org/officeDocument/2006/relationships/hyperlink" Id="rId292" Target="https://www.ech.ch/de/ech/ech-0296" TargetMode="External" /><Relationship Type="http://schemas.openxmlformats.org/officeDocument/2006/relationships/hyperlink" Id="rId293"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98"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3" Target="https://www.swisstopo.admin.ch/fr/repertoire-officiel-des-adresses-de-batiments" TargetMode="External" /><Relationship Type="http://schemas.openxmlformats.org/officeDocument/2006/relationships/hyperlink" Id="rId300"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2026-08-10T02:12:43Z</dcterms:created>
  <dcterms:modified xsi:type="dcterms:W3CDTF">2026-08-10T02:12:43Z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