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2ec73cd4289b02130d056bbdb77bd184add2f65"/>
    <w:p>
      <w:pPr>
        <w:pStyle w:val="berschrift4"/>
      </w:pPr>
      <w:r>
        <w:t xml:space="preserve">Example: Parliamentary group referencing the parliament it belongs to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e9cf7990ddf67f7af90927a9f17c988deb25341"/>
    <w:p>
      <w:pPr>
        <w:pStyle w:val="berschrift4"/>
      </w:pPr>
      <w:r>
        <w:t xml:space="preserve">Example: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566152d4571ac52b17ed1522805a7b79cc5cc"/>
    <w:p>
      <w:pPr>
        <w:pStyle w:val="berschrift4"/>
      </w:pPr>
      <w:r>
        <w:t xml:space="preserve">Example: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b0721f2e95d4eece36c7ec1b4ed9c75152ecfaf"/>
    <w:p>
      <w:pPr>
        <w:pStyle w:val="berschrift4"/>
      </w:pPr>
      <w:r>
        <w:t xml:space="preserve">Example: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3e67f4362f95b9a5f2a144f1da145a9bfa2c8b2"/>
    <w:p>
      <w:pPr>
        <w:pStyle w:val="berschrift4"/>
      </w:pPr>
      <w:r>
        <w:t xml:space="preserve">Example: Cantonal party as its own group at its federal level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Three rules govern the types of political groups and organizations.</w:t>
      </w:r>
    </w:p>
    <w:p>
      <w:pPr>
        <w:pStyle w:val="Textkrper"/>
      </w:pPr>
      <w:r>
        <w:rPr>
          <w:i/>
          <w:iCs/>
        </w:rPr>
        <w:t xml:space="preserve">The value states the political function; the designation used locally belongs in the group’s label. Büro, Ratsleitung and Ufficio presidenziale therefore all take the value</w:t>
      </w:r>
      <w:r>
        <w:rPr>
          <w:i/>
          <w:iCs/>
        </w:rPr>
        <w:t xml:space="preserve"> </w:t>
      </w:r>
      <w:r>
        <w:rPr>
          <w:rStyle w:val="VerbatimChar"/>
          <w:i/>
          <w:iCs/>
        </w:rPr>
        <w:t xml:space="preserve">council_bureau</w:t>
      </w:r>
      <w:r>
        <w:rPr>
          <w:i/>
          <w:iCs/>
        </w:rPr>
        <w:t xml:space="preserve">.</w:t>
      </w:r>
    </w:p>
    <w:p>
      <w:pPr>
        <w:pStyle w:val="Textkrper"/>
      </w:pPr>
      <w:r>
        <w:rPr>
          <w:i/>
          <w:iCs/>
        </w:rPr>
        <w:t xml:space="preserve">Related values share a prefix. The</w:t>
      </w:r>
      <w:r>
        <w:rPr>
          <w:i/>
          <w:iCs/>
        </w:rPr>
        <w:t xml:space="preserve"> </w:t>
      </w:r>
      <w:r>
        <w:rPr>
          <w:rStyle w:val="VerbatimChar"/>
          <w:i/>
          <w:iCs/>
        </w:rPr>
        <w:t xml:space="preserve">council_</w:t>
      </w:r>
      <w:r>
        <w:rPr>
          <w:i/>
          <w:iCs/>
        </w:rPr>
        <w:t xml:space="preserve"> </w:t>
      </w:r>
      <w:r>
        <w:rPr>
          <w:i/>
          <w:iCs/>
        </w:rPr>
        <w:t xml:space="preserve">family does not distinguish by council: a state chancellery and parliamentary services are both</w:t>
      </w:r>
      <w:r>
        <w:rPr>
          <w:i/>
          <w:iCs/>
        </w:rPr>
        <w:t xml:space="preserve"> </w:t>
      </w:r>
      <w:r>
        <w:rPr>
          <w:rStyle w:val="VerbatimChar"/>
          <w:i/>
          <w:iCs/>
        </w:rPr>
        <w:t xml:space="preserve">council_secretariat</w:t>
      </w:r>
      <w:r>
        <w:rPr>
          <w:i/>
          <w:iCs/>
        </w:rPr>
        <w:t xml:space="preserve">, and the affiliation follows from</w:t>
      </w:r>
      <w:r>
        <w:rPr>
          <w:i/>
          <w:iCs/>
        </w:rPr>
        <w:t xml:space="preserve"> </w:t>
      </w:r>
      <w:r>
        <w:rPr>
          <w:rStyle w:val="VerbatimChar"/>
          <w:i/>
          <w:iCs/>
        </w:rPr>
        <w:t xml:space="preserve">parent_groups</w:t>
      </w:r>
      <w:r>
        <w:rPr>
          <w:i/>
          <w:iCs/>
        </w:rPr>
        <w:t xml:space="preserve">. It divides into</w:t>
      </w:r>
      <w:r>
        <w:rPr>
          <w:i/>
          <w:iCs/>
        </w:rPr>
        <w:t xml:space="preserve"> </w:t>
      </w:r>
      <w:r>
        <w:rPr>
          <w:rStyle w:val="VerbatimChar"/>
          <w:i/>
          <w:iCs/>
        </w:rPr>
        <w:t xml:space="preserve">council_presidency</w:t>
      </w:r>
      <w:r>
        <w:rPr>
          <w:i/>
          <w:iCs/>
        </w:rPr>
        <w:t xml:space="preserve"> </w:t>
      </w:r>
      <w:r>
        <w:rPr>
          <w:i/>
          <w:iCs/>
        </w:rPr>
        <w:t xml:space="preserve">for the presidency,</w:t>
      </w:r>
      <w:r>
        <w:rPr>
          <w:i/>
          <w:iCs/>
        </w:rPr>
        <w:t xml:space="preserve"> </w:t>
      </w:r>
      <w:r>
        <w:rPr>
          <w:rStyle w:val="VerbatimChar"/>
          <w:i/>
          <w:iCs/>
        </w:rPr>
        <w:t xml:space="preserve">council_bureau</w:t>
      </w:r>
      <w:r>
        <w:rPr>
          <w:i/>
          <w:iCs/>
        </w:rPr>
        <w:t xml:space="preserve"> </w:t>
      </w:r>
      <w:r>
        <w:rPr>
          <w:i/>
          <w:iCs/>
        </w:rPr>
        <w:t xml:space="preserve">for the managing body extended by the parliamentary group representation, and</w:t>
      </w:r>
      <w:r>
        <w:rPr>
          <w:i/>
          <w:iCs/>
        </w:rPr>
        <w:t xml:space="preserve"> </w:t>
      </w:r>
      <w:r>
        <w:rPr>
          <w:rStyle w:val="VerbatimChar"/>
          <w:i/>
          <w:iCs/>
        </w:rPr>
        <w:t xml:space="preserve">council_secretariat</w:t>
      </w:r>
      <w:r>
        <w:rPr>
          <w:i/>
          <w:iCs/>
        </w:rPr>
        <w:t xml:space="preserve"> </w:t>
      </w:r>
      <w:r>
        <w:rPr>
          <w:i/>
          <w:iCs/>
        </w:rPr>
        <w:t xml:space="preserve">for the administrative unit staffed by employees. The</w:t>
      </w:r>
      <w:r>
        <w:rPr>
          <w:i/>
          <w:iCs/>
        </w:rPr>
        <w:t xml:space="preserve"> </w:t>
      </w:r>
      <w:r>
        <w:rPr>
          <w:rStyle w:val="VerbatimChar"/>
          <w:i/>
          <w:iCs/>
        </w:rPr>
        <w:t xml:space="preserve">committee_</w:t>
      </w:r>
      <w:r>
        <w:rPr>
          <w:i/>
          <w:iCs/>
        </w:rPr>
        <w:t xml:space="preserve"> </w:t>
      </w:r>
      <w:r>
        <w:rPr>
          <w:i/>
          <w:iCs/>
        </w:rPr>
        <w:t xml:space="preserve">family follows the same pattern, with</w:t>
      </w:r>
      <w:r>
        <w:rPr>
          <w:i/>
          <w:iCs/>
        </w:rPr>
        <w:t xml:space="preserve"> </w:t>
      </w:r>
      <w:r>
        <w:rPr>
          <w:rStyle w:val="VerbatimChar"/>
          <w:i/>
          <w:iCs/>
        </w:rPr>
        <w:t xml:space="preserve">committee</w:t>
      </w:r>
      <w:r>
        <w:rPr>
          <w:i/>
          <w:iCs/>
        </w:rPr>
        <w:t xml:space="preserve"> </w:t>
      </w:r>
      <w:r>
        <w:rPr>
          <w:i/>
          <w:iCs/>
        </w:rPr>
        <w:t xml:space="preserve">as the base case.</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5"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52"/>
    <w:bookmarkStart w:id="256"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3"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7"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1" w:name="reused-classes"/>
    <w:p>
      <w:pPr>
        <w:pStyle w:val="berschrift2"/>
      </w:pPr>
      <w:r>
        <w:t xml:space="preserve">Reused Classes</w:t>
      </w:r>
    </w:p>
    <w:bookmarkEnd w:id="261"/>
    <w:bookmarkStart w:id="268" w:name="class-address"/>
    <w:p>
      <w:pPr>
        <w:pStyle w:val="berschrift2"/>
      </w:pPr>
      <w:r>
        <w:t xml:space="preserve">Class: Address</w:t>
      </w:r>
    </w:p>
    <w:p>
      <w:pPr>
        <w:pStyle w:val="FirstParagraph"/>
      </w:pPr>
      <w:r>
        <w:rPr>
          <w:i/>
          <w:iCs/>
        </w:rPr>
        <w:t xml:space="preserve">An address with a type (e.g., private address, business address) and a value.</w:t>
      </w:r>
    </w:p>
    <w:bookmarkStart w:id="26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2"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2"/>
    <w:bookmarkEnd w:id="263"/>
    <w:bookmarkStart w:id="264"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examples-4"/>
    <w:p>
      <w:pPr>
        <w:pStyle w:val="berschrift3"/>
      </w:pPr>
      <w:r>
        <w:t xml:space="preserve">Examples</w:t>
      </w:r>
    </w:p>
    <w:bookmarkStart w:id="265"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69">
        <w:r>
          <w:rPr>
            <w:rStyle w:val="Hyperlink"/>
          </w:rPr>
          <w:t xml:space="preserve">act:AddressTypeEnum</w:t>
        </w:r>
      </w:hyperlink>
    </w:p>
    <w:bookmarkStart w:id="270"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70"/>
    <w:bookmarkEnd w:id="271"/>
    <w:bookmarkStart w:id="274"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72"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2"/>
    <w:bookmarkStart w:id="273"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p>
      <w:r>
        <w:br w:type="page"/>
      </w:r>
    </w:p>
    <w:bookmarkEnd w:id="274"/>
    <w:bookmarkEnd w:id="275"/>
    <w:bookmarkStart w:id="290"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81"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76">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77">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78">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79">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80">
              <w:r>
                <w:rPr>
                  <w:rStyle w:val="Hyperlink"/>
                </w:rPr>
                <w:t xml:space="preserve">https://www.ech.ch/de/ech/ech-0297</w:t>
              </w:r>
            </w:hyperlink>
          </w:p>
        </w:tc>
      </w:tr>
    </w:tbl>
    <w:bookmarkEnd w:id="281"/>
    <w:bookmarkStart w:id="283"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82">
              <w:r>
                <w:rPr>
                  <w:rStyle w:val="Hyperlink"/>
                </w:rPr>
                <w:t xml:space="preserve">https://www.ech.ch/de/ech/ech-0108/6.0.0</w:t>
              </w:r>
            </w:hyperlink>
          </w:p>
        </w:tc>
      </w:tr>
    </w:tbl>
    <w:bookmarkEnd w:id="283"/>
    <w:bookmarkStart w:id="289"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84">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285">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6">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287">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288">
              <w:r>
                <w:rPr>
                  <w:rStyle w:val="Hyperlink"/>
                </w:rPr>
                <w:t xml:space="preserve">https://linkml.io</w:t>
              </w:r>
            </w:hyperlink>
          </w:p>
        </w:tc>
      </w:tr>
    </w:tbl>
    <w:bookmarkEnd w:id="289"/>
    <w:bookmarkEnd w:id="29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85" Target="https://ld.admin.ch"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88"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7"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2" Target="https://www.ech.ch/de/ech/ech-0108/6.0.0" TargetMode="External" /><Relationship Type="http://schemas.openxmlformats.org/officeDocument/2006/relationships/hyperlink" Id="rId276" Target="https://www.ech.ch/de/ech/ech-0292" TargetMode="External" /><Relationship Type="http://schemas.openxmlformats.org/officeDocument/2006/relationships/hyperlink" Id="rId277" Target="https://www.ech.ch/de/ech/ech-0293" TargetMode="External" /><Relationship Type="http://schemas.openxmlformats.org/officeDocument/2006/relationships/hyperlink" Id="rId278" Target="https://www.ech.ch/de/ech/ech-0295" TargetMode="External" /><Relationship Type="http://schemas.openxmlformats.org/officeDocument/2006/relationships/hyperlink" Id="rId279" Target="https://www.ech.ch/de/ech/ech-0296" TargetMode="External" /><Relationship Type="http://schemas.openxmlformats.org/officeDocument/2006/relationships/hyperlink" Id="rId280" Target="https://www.ech.ch/de/ech/ech-0297" TargetMode="External" /><Relationship Type="http://schemas.openxmlformats.org/officeDocument/2006/relationships/hyperlink" Id="rId284"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86"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85" Target="https://ld.admin.ch"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88"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7"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2" Target="https://www.ech.ch/de/ech/ech-0108/6.0.0" TargetMode="External" /><Relationship Type="http://schemas.openxmlformats.org/officeDocument/2006/relationships/hyperlink" Id="rId276" Target="https://www.ech.ch/de/ech/ech-0292" TargetMode="External" /><Relationship Type="http://schemas.openxmlformats.org/officeDocument/2006/relationships/hyperlink" Id="rId277" Target="https://www.ech.ch/de/ech/ech-0293" TargetMode="External" /><Relationship Type="http://schemas.openxmlformats.org/officeDocument/2006/relationships/hyperlink" Id="rId278" Target="https://www.ech.ch/de/ech/ech-0295" TargetMode="External" /><Relationship Type="http://schemas.openxmlformats.org/officeDocument/2006/relationships/hyperlink" Id="rId279" Target="https://www.ech.ch/de/ech/ech-0296" TargetMode="External" /><Relationship Type="http://schemas.openxmlformats.org/officeDocument/2006/relationships/hyperlink" Id="rId280" Target="https://www.ech.ch/de/ech/ech-0297" TargetMode="External" /><Relationship Type="http://schemas.openxmlformats.org/officeDocument/2006/relationships/hyperlink" Id="rId284"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86"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2026-08-08T18:22:17Z</dcterms:created>
  <dcterms:modified xsi:type="dcterms:W3CDTF">2026-08-08T18:22:17Z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