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2026-07-22</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X94468e17c4e898be9ed1ef4c935e9da34d3247a"/>
    <w:p>
      <w:pPr>
        <w:pStyle w:val="berschrift2"/>
      </w:pPr>
      <w:r>
        <w:t xml:space="preserve">La norme eCH-0294 – Acteurs politiques : personnes, groupes et organes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26"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et formation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La circonscription électorale, en revanche, n’est pas une caractéristique de la personne : elle est rattachée à la</w:t>
      </w:r>
      <w:r>
        <w:t xml:space="preserve"> </w:t>
      </w:r>
      <w:r>
        <w:rPr>
          <w:rStyle w:val="VerbatimChar"/>
        </w:rPr>
        <w:t xml:space="preserve">Membership</w:t>
      </w:r>
      <w:r>
        <w:t xml:space="preserve"> </w:t>
      </w:r>
      <w:r>
        <w:t xml:space="preserve">(</w:t>
      </w:r>
      <w:r>
        <w:rPr>
          <w:rStyle w:val="VerbatimChar"/>
        </w:rPr>
        <w:t xml:space="preserve">electoral_district</w:t>
      </w:r>
      <w:r>
        <w:t xml:space="preserve">) et hérite de la validité temporelle de celle-ci – un changement de circonscription se traduit donc par l’affiliation correspondante.</w:t>
      </w:r>
    </w:p>
    <w:p>
      <w:pPr>
        <w:pStyle w:val="Compact"/>
        <w:numPr>
          <w:ilvl w:val="0"/>
          <w:numId w:val="1005"/>
        </w:numPr>
      </w:pPr>
      <w:r>
        <w:rPr>
          <w:b/>
          <w:bCs/>
        </w:rPr>
        <w:t xml:space="preserve">Nom d’affichage (</w:t>
      </w:r>
      <w:r>
        <w:rPr>
          <w:rStyle w:val="VerbatimChar"/>
          <w:b/>
          <w:bCs/>
        </w:rPr>
        <w:t xml:space="preserve">label</w:t>
      </w:r>
      <w:r>
        <w:rPr>
          <w:b/>
          <w:bCs/>
        </w:rPr>
        <w:t xml:space="preserve">) obligatoire, structure de noms (</w:t>
      </w:r>
      <w:r>
        <w:rPr>
          <w:rStyle w:val="VerbatimChar"/>
          <w:b/>
          <w:bCs/>
        </w:rPr>
        <w:t xml:space="preserve">names</w:t>
      </w:r>
      <w:r>
        <w:rPr>
          <w:b/>
          <w:bCs/>
        </w:rPr>
        <w:t xml:space="preserve">) facultative :</w:t>
      </w:r>
      <w:r>
        <w:t xml:space="preserve"> </w:t>
      </w:r>
      <w:r>
        <w:t xml:space="preserve">chaque personne possède un nom d’affichage court. Un nom est ainsi toujours disponible, même lorsque les indications sont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Les titres académiques peuvent également être représentés au moyen de</w:t>
      </w:r>
      <w:r>
        <w:t xml:space="preserve"> </w:t>
      </w:r>
      <w:r>
        <w:rPr>
          <w:rStyle w:val="VerbatimChar"/>
        </w:rPr>
        <w:t xml:space="preserve">label_long</w:t>
      </w:r>
      <w:r>
        <w:t xml:space="preserv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reprennent la systématique de l’harmonisation des registres (notamment nom officiel, nom d’origine, nom d’alliance, prénom usuel ainsi que des variantes pour les pièces d’identité étrangères). La référence est le</w:t>
      </w:r>
      <w:r>
        <w:t xml:space="preserve"> </w:t>
      </w:r>
      <w:hyperlink ns1:id="rId27">
        <w:r>
          <w:rPr>
            <w:rStyle w:val="Hyperlink"/>
          </w:rPr>
          <w:t xml:space="preserve">Catalogue officiel des caractères</w:t>
        </w:r>
      </w:hyperlink>
      <w:r>
        <w:t xml:space="preserve">, publié par l’Office fédéral de la statistique en vertu de l’art. 4 de la loi sur l’harmonisation de registres (LHR, RS 431.02) ; les numéros figurant dans les descriptions des valeurs (211–224) sont les numéros de caractères de ce catalogue. Le format d’échange correspondant est défini par la norme eCH</w:t>
      </w:r>
      <w:r>
        <w:t xml:space="preserve"> </w:t>
      </w:r>
      <w:hyperlink ns1:id="rId28">
        <w:r>
          <w:rPr>
            <w:rStyle w:val="Hyperlink"/>
          </w:rPr>
          <w:t xml:space="preserve">eCH-0011 Norme concernant les données concernant les personnes</w:t>
        </w:r>
      </w:hyperlink>
      <w:r>
        <w:t xml:space="preserve">, sur laquelle la présente norme s’appuie. Les noms sont ainsi compatibles avec les registres officiels des personnes et leur sémantique est claire.</w:t>
      </w:r>
    </w:p>
    <w:p>
      <w:pPr>
        <w:pStyle w:val="Compact"/>
        <w:numPr>
          <w:ilvl w:val="0"/>
          <w:numId w:val="1005"/>
        </w:numPr>
      </w:pPr>
      <w:r>
        <w:rPr>
          <w:b/>
          <w:bCs/>
        </w:rPr>
        <w:t xml:space="preserve">Date de naissance à deux niveaux de précision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 :</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Sexe : codes officiels et catégorie ouverte (</w:t>
      </w:r>
      <w:r>
        <w:rPr>
          <w:rStyle w:val="VerbatimChar"/>
          <w:b/>
          <w:bCs/>
        </w:rPr>
        <w:t xml:space="preserve">GenderCodeEnum</w:t>
      </w:r>
      <w:r>
        <w:rPr>
          <w:b/>
          <w:bCs/>
        </w:rPr>
        <w:t xml:space="preserve">) :</w:t>
      </w:r>
      <w:r>
        <w:t xml:space="preserve"> </w:t>
      </w:r>
      <w:r>
        <w:rPr>
          <w:rStyle w:val="VerbatimChar"/>
        </w:rPr>
        <w:t xml:space="preserve">male</w:t>
      </w:r>
      <w:r>
        <w:t xml:space="preserve"> </w:t>
      </w:r>
      <w:r>
        <w:t xml:space="preserve">et</w:t>
      </w:r>
      <w:r>
        <w:t xml:space="preserve"> </w:t>
      </w:r>
      <w:r>
        <w:rPr>
          <w:rStyle w:val="VerbatimChar"/>
        </w:rPr>
        <w:t xml:space="preserve">female</w:t>
      </w:r>
      <w:r>
        <w:t xml:space="preserve"> </w:t>
      </w:r>
      <w:r>
        <w:t xml:space="preserve">correspondent aux valeurs de l’harmonisation des registres et renvoient, au moyen de</w:t>
      </w:r>
      <w:r>
        <w:t xml:space="preserve"> </w:t>
      </w:r>
      <w:r>
        <w:rPr>
          <w:rStyle w:val="VerbatimChar"/>
        </w:rPr>
        <w:t xml:space="preserve">meaning</w:t>
      </w:r>
      <w:r>
        <w:t xml:space="preserve">, aux concepts I14Y</w:t>
      </w:r>
      <w:r>
        <w:t xml:space="preserve"> </w:t>
      </w:r>
      <w:r>
        <w:rPr>
          <w:rStyle w:val="VerbatimChar"/>
        </w:rPr>
        <w:t xml:space="preserve">sex/1</w:t>
      </w:r>
      <w:r>
        <w:t xml:space="preserve"> </w:t>
      </w:r>
      <w:r>
        <w:t xml:space="preserve">et</w:t>
      </w:r>
      <w:r>
        <w:t xml:space="preserve"> </w:t>
      </w:r>
      <w:r>
        <w:rPr>
          <w:rStyle w:val="VerbatimChar"/>
        </w:rPr>
        <w:t xml:space="preserve">sex/2</w:t>
      </w:r>
      <w:r>
        <w:t xml:space="preserve">. Pour</w:t>
      </w:r>
      <w:r>
        <w:t xml:space="preserve"> </w:t>
      </w:r>
      <w:r>
        <w:rPr>
          <w:rStyle w:val="VerbatimChar"/>
        </w:rPr>
        <w:t xml:space="preserve">non_binary</w:t>
      </w:r>
      <w:r>
        <w:t xml:space="preserve">, il n’existe délibérément aucune correspondance : la liste de codes officielle ne connaît comme troisième valeur que « indéterminé », ce qui signifie autre chose qu’une indication positive au-delà du masculin et du féminin. Si le sexe n’est pas connu, aucune entrée n’est donc créée — une entrée absente et</w:t>
      </w:r>
      <w:r>
        <w:t xml:space="preserve"> </w:t>
      </w:r>
      <w:r>
        <w:rPr>
          <w:rStyle w:val="VerbatimChar"/>
        </w:rPr>
        <w:t xml:space="preserve">non_binary</w:t>
      </w:r>
      <w:r>
        <w:t xml:space="preserve"> </w:t>
      </w:r>
      <w:r>
        <w:t xml:space="preserve">doivent être clairement distinguées.</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dépasse les possibilités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8" w:name="classe-person"/>
    <w:p>
      <w:pPr>
        <w:pStyle w:val="berschrift2"/>
      </w:pPr>
      <w:r>
        <w:t xml:space="preserve">Classe: Person</w:t>
      </w:r>
    </w:p>
    <w:p>
      <w:pPr>
        <w:pStyle w:val="FirstParagraph"/>
      </w:pPr>
      <w:r>
        <w:rPr>
          <w:i/>
          <w:iCs/>
        </w:rPr>
        <w:t xml:space="preserve">Une personne avec des identifiants, des noms, des adresses, des nationalités et des professions.</w:t>
      </w:r>
    </w:p>
    <w:bookmarkStart w:id="29"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et facultatif comprenant les titres académiques et le nom officiel complet (p. ex. « Dr. Maria Muster-Beispiel »).</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Date de décès exacte.</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Lien vers une image (de préférence : PNG, puis JPG, puis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Noms de la personne avec type et valeur.</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Compétences linguistiques de la personne.</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Nationalités de la personne.</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Sexe de la personne.</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Métiers ou professions de la personne.</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Formations ou éducations de la personne. Directive : n’indiquer en principe que la qualification la plus élevée obtenue.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de liens d’intérêts.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9"/>
    <w:bookmarkStart w:id="30"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emples"/>
    <w:p>
      <w:pPr>
        <w:pStyle w:val="berschrift3"/>
      </w:pPr>
      <w:r>
        <w:t xml:space="preserve">Exemples</w:t>
      </w:r>
    </w:p>
    <w:bookmarkStart w:id="31" w:name="X9955bc77ce47192f4dfec3a5ff6329bbba6605b"/>
    <w:p>
      <w:pPr>
        <w:pStyle w:val="berschrift4"/>
      </w:pPr>
      <w:r>
        <w:t xml:space="preserve">Exemple : Variante de nom à côté du double 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553b4f9880ce41c9d1e74079fa3e97a01ef2a8c"/>
    <w:p>
      <w:pPr>
        <w:pStyle w:val="berschrift4"/>
      </w:pPr>
      <w:r>
        <w:t xml:space="preserve">Exemple : Prénom usuel différent du prénom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7dfdf916967534251c80aff5a6d4af223df0802"/>
    <w:p>
      <w:pPr>
        <w:pStyle w:val="berschrift4"/>
      </w:pPr>
      <w:r>
        <w:t xml:space="preserve">Exemple : Indication de sexe non binaire avec profession et formation</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2a8ab9eff89a19567726fed606aa6980fc3dc43"/>
    <w:p>
      <w:pPr>
        <w:pStyle w:val="berschrift4"/>
      </w:pPr>
      <w:r>
        <w:t xml:space="preserve">Exemple : Distinguer des personnes homonymes par le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X193b23d0a4e2d4024a2325d8554daf79d2f9c7e"/>
    <w:p>
      <w:pPr>
        <w:pStyle w:val="berschrift4"/>
      </w:pPr>
      <w:r>
        <w:t xml:space="preserve">Exemple : Personne saisie de manière complète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d55053be701346bf782f67a2fdffdfa587b0908"/>
    <w:p>
      <w:pPr>
        <w:pStyle w:val="berschrift4"/>
      </w:pPr>
      <w:r>
        <w:t xml:space="preserve">Exemple : Distinguer des personnes homonymes par le label (deuxième personne)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e-name"/>
    <w:p>
      <w:pPr>
        <w:pStyle w:val="berschrift2"/>
      </w:pPr>
      <w:r>
        <w:t xml:space="preserve">Classe: Name</w:t>
      </w:r>
    </w:p>
    <w:p>
      <w:pPr>
        <w:pStyle w:val="FirstParagraph"/>
      </w:pPr>
      <w:r>
        <w:rPr>
          <w:i/>
          <w:iCs/>
        </w:rPr>
        <w:t xml:space="preserve">Un nom avec un type (p. ex. nom d’usage, nom officiel), une valeur et une validité temporelle.</w:t>
      </w:r>
    </w:p>
    <w:bookmarkStart w:id="39"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9"/>
    <w:bookmarkStart w:id="40"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Catégories de types de noms selon eCH-0011 (personNameData) et le Catalogue officiel des caractères de l’harmonisation de registres (https://www.bfs.admin.ch/bfs/fr/home/registres/registre-personnes/harmonisation-registres/nomenclatures.assetdetail.24565577.html), URI selon l’identifiant I14Y mais en tant que classe et non en tant qu’attribut. Descriptions et traductions selon I14Y.</w:t>
      </w:r>
    </w:p>
    <w:p>
      <w:pPr>
        <w:pStyle w:val="Textkrper"/>
      </w:pPr>
      <w:r>
        <w:t xml:space="preserve">URI:</w:t>
      </w:r>
      <w:r>
        <w:t xml:space="preserve"> </w:t>
      </w:r>
      <w:hyperlink ns1:id="rId42">
        <w:r>
          <w:rPr>
            <w:rStyle w:val="Hyperlink"/>
          </w:rPr>
          <w:t xml:space="preserve">act:NameTypeEnum</w:t>
        </w:r>
      </w:hyperlink>
    </w:p>
    <w:bookmarkStart w:id="54"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 Selon le catalogue officiel des caractères (n° 211) pour l’harmonisation des registres.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 Selon le catalogue officiel des caractères (n° 212) pour l’harmonisation des registres.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 Selon le catalogue officiel des caractères (n° 213) pour l’harmonisation des registres.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 Selon le catalogue officiel des caractères (n° 214) pour l’harmonisation des registres.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Nom (p. ex. nom de scène, nom religieux) qui, sur la base d’une demande acceptée, peut être porté par la personne. Le nom d’alias peut se composer d’une ou de plusieurs parties (p. ex. également le prénom d’alias et le nom de famille d’alias). Selon le catalogue officiel des caractères (n° 215) pour l’harmonisation des registres.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Autres noms officiels selon les documents d’état civil suisses (art. 24, al. 3 OEC) ou selon des documents étrangers, qui ne sont ni des noms de famille ni des prénoms. Selon le catalogue officiel des caractères (n° 216) pour l’harmonisation des registres.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Pour les ressortissants étrangers qui ne disposent pas de documents officiels (principalement dans le domaine de l’asile). Selon le catalogue officiel des caractères (n° 217) pour l’harmonisation des registres.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 Selon le catalogue officiel des caractères (n° 221) pour l’harmonisation des registres.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 Selon le catalogue officiel des caractères (n° 222) pour l’harmonisation des registres.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 Selon le catalogue officiel des caractères (n° 223) pour l’harmonisation des registres.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 Selon le catalogue officiel des caractères (n° 224) pour l’harmonisation des registres.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e-languageproficiency"/>
    <w:p>
      <w:pPr>
        <w:pStyle w:val="berschrift2"/>
      </w:pPr>
      <w:r>
        <w:t xml:space="preserve">Classe: LanguageProficiency</w:t>
      </w:r>
    </w:p>
    <w:p>
      <w:pPr>
        <w:pStyle w:val="FirstParagraph"/>
      </w:pPr>
      <w:r>
        <w:rPr>
          <w:i/>
          <w:iCs/>
        </w:rPr>
        <w:t xml:space="preserve">Compétences linguistiques d’une personne indiquant la langue et le fait qu’il s’agisse ou non de la langue préférée ou de la langue maternelle.</w:t>
      </w:r>
    </w:p>
    <w:bookmarkStart w:id="56"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s’il s’agit de la langue maternelle.</w:t>
            </w:r>
          </w:p>
        </w:tc>
      </w:tr>
    </w:tbl>
    <w:bookmarkEnd w:id="56"/>
    <w:bookmarkStart w:id="57"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e-citizenship"/>
    <w:p>
      <w:pPr>
        <w:pStyle w:val="berschrift2"/>
      </w:pPr>
      <w:r>
        <w:t xml:space="preserve">Classe: Citizenship</w:t>
      </w:r>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bookmarkStart w:id="59"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9"/>
    <w:bookmarkStart w:id="60"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e-gender"/>
    <w:p>
      <w:pPr>
        <w:pStyle w:val="berschrift2"/>
      </w:pPr>
      <w:r>
        <w:t xml:space="preserve">Classe: Gender</w:t>
      </w:r>
    </w:p>
    <w:p>
      <w:pPr>
        <w:pStyle w:val="FirstParagraph"/>
      </w:pPr>
      <w:r>
        <w:rPr>
          <w:i/>
          <w:iCs/>
        </w:rPr>
        <w:t xml:space="preserve">Sexe d’une personne indiquant un code de sexe et la validité temporelle.</w:t>
      </w:r>
    </w:p>
    <w:bookmarkStart w:id="62"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2"/>
    <w:bookmarkStart w:id="63"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non_binary</w:t>
      </w:r>
      <w:r>
        <w:rPr>
          <w:i/>
          <w:iCs/>
        </w:rPr>
        <w:t xml:space="preserve"> </w:t>
      </w:r>
      <w:r>
        <w:rPr>
          <w:i/>
          <w:iCs/>
        </w:rPr>
        <w:t xml:space="preserve">doit être utilisé avec un libellé afin de fournir de plus amples détails sur le sexe auto-déclaré.</w:t>
      </w:r>
    </w:p>
    <w:p>
      <w:pPr>
        <w:pStyle w:val="Textkrper"/>
      </w:pPr>
      <w:r>
        <w:t xml:space="preserve">URI:</w:t>
      </w:r>
      <w:r>
        <w:t xml:space="preserve"> </w:t>
      </w:r>
      <w:hyperlink ns1:id="rId65">
        <w:r>
          <w:rPr>
            <w:rStyle w:val="Hyperlink"/>
          </w:rPr>
          <w:t xml:space="preserve">act:GenderCodeEnum</w:t>
        </w:r>
      </w:hyperlink>
    </w:p>
    <w:bookmarkStart w:id="68" w:name="valeurs-admissibles-1"/>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non binaire.</w:t>
            </w:r>
          </w:p>
        </w:tc>
      </w:tr>
    </w:tbl>
    <w:bookmarkEnd w:id="68"/>
    <w:bookmarkEnd w:id="69"/>
    <w:bookmarkStart w:id="76" w:name="classe-occupation"/>
    <w:p>
      <w:pPr>
        <w:pStyle w:val="berschrift2"/>
      </w:pPr>
      <w:r>
        <w:t xml:space="preserve">Classe: Occupation</w:t>
      </w:r>
    </w:p>
    <w:p>
      <w:pPr>
        <w:pStyle w:val="FirstParagraph"/>
      </w:pPr>
      <w:r>
        <w:rPr>
          <w:i/>
          <w:iCs/>
        </w:rPr>
        <w:t xml:space="preserve">Métier ou profession d’une personne indiquant un libellé, un code ISCO-19, si l’activité est rémunérée, ainsi que la validité temporelle.</w:t>
      </w:r>
    </w:p>
    <w:bookmarkStart w:id="71"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0"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emples-1"/>
    <w:p>
      <w:pPr>
        <w:pStyle w:val="berschrift3"/>
      </w:pPr>
      <w:r>
        <w:t xml:space="preserve">Exemples</w:t>
      </w:r>
    </w:p>
    <w:bookmarkStart w:id="73" w:name="X8f7df134c209cb0abf77114967ccea502cf3ac1"/>
    <w:p>
      <w:pPr>
        <w:pStyle w:val="berschrift4"/>
      </w:pPr>
      <w:r>
        <w:t xml:space="preserve">Exemple :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67fff307db2af154115d70a7803a237bb207ac0"/>
    <w:p>
      <w:pPr>
        <w:pStyle w:val="berschrift4"/>
      </w:pPr>
      <w:r>
        <w:t xml:space="preserve">Exemple :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e-training"/>
    <w:p>
      <w:pPr>
        <w:pStyle w:val="berschrift2"/>
      </w:pPr>
      <w:r>
        <w:t xml:space="preserve">Classe: Training</w:t>
      </w:r>
    </w:p>
    <w:p>
      <w:pPr>
        <w:pStyle w:val="FirstParagraph"/>
      </w:pPr>
      <w:r>
        <w:rPr>
          <w:i/>
          <w:iCs/>
        </w:rPr>
        <w:t xml:space="preserve">Formation ou éducation d’une personne indiquant un type (p. ex. diplôme scolaire, diplôme universitaire, service militaire), un libellé, un code ISCO-19 et la validité temporelle.</w:t>
      </w:r>
    </w:p>
    <w:bookmarkStart w:id="78"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7"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tilisations-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de formation ou d’éducation basés sur la liste de codes suisse LEVEL_EDUC de l’OFS.</w:t>
      </w:r>
    </w:p>
    <w:p>
      <w:pPr>
        <w:pStyle w:val="Textkrper"/>
      </w:pPr>
      <w:r>
        <w:t xml:space="preserve">URI:</w:t>
      </w:r>
      <w:r>
        <w:t xml:space="preserve"> </w:t>
      </w:r>
      <w:hyperlink ns1:id="rId81">
        <w:r>
          <w:rPr>
            <w:rStyle w:val="Hyperlink"/>
          </w:rPr>
          <w:t xml:space="preserve">act:TrainingTypeEnum</w:t>
        </w:r>
      </w:hyperlink>
    </w:p>
    <w:bookmarkStart w:id="12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bl>
    <w:bookmarkEnd w:id="124"/>
    <w:p>
      <w:r>
        <w:br w:type="page"/>
      </w:r>
    </w:p>
    <w:bookmarkEnd w:id="125"/>
    <w:bookmarkEnd w:id="126"/>
    <w:bookmarkStart w:id="171"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sont toutefois possibles (p. ex. un groupe parlementaire qui renvoie à son parlement). Seule la relation de subordination est déterminante : les partis qui portent un groupe parlementaire ne lui sont pas supérieurs. Leur rapport au groupe n’est délibérément pas représenté dans la norme – il ne s’agit pas d’une hiérarchie, et il n’en existe pas de forme générale robuste, les groupes parlementaires étant liés aux partis de manière plus ou moins étroite selon les conseils. Là où l’appartenance doit être visible, elle l’est par les affiliations des personnes. Le renvoi prend la forme d’une</w:t>
      </w:r>
      <w:r>
        <w:t xml:space="preserve"> </w:t>
      </w:r>
      <w:r>
        <w:rPr>
          <w:rStyle w:val="VerbatimChar"/>
        </w:rPr>
        <w:t xml:space="preserve">GroupReference</w:t>
      </w:r>
      <w:r>
        <w:t xml:space="preserve"> </w:t>
      </w:r>
      <w:r>
        <w:t xml:space="preserve">– la même que celle par laquelle une affiliation désigne son groupe. Que le lien exprime un rapport de subordination est indiqué par le slot</w:t>
      </w:r>
      <w:r>
        <w:t xml:space="preserve"> </w:t>
      </w:r>
      <w:r>
        <w:rPr>
          <w:rStyle w:val="VerbatimChar"/>
        </w:rPr>
        <w:t xml:space="preserve">parent_groups</w:t>
      </w:r>
      <w:r>
        <w:t xml:space="preserve"> </w:t>
      </w:r>
      <w:r>
        <w:t xml:space="preserve">lui-même ; la référence ne porte que l’adressage. Celui-ci peut se faire au moyen du</w:t>
      </w:r>
      <w:r>
        <w:t xml:space="preserve"> </w:t>
      </w:r>
      <w:r>
        <w:rPr>
          <w:rStyle w:val="VerbatimChar"/>
        </w:rPr>
        <w:t xml:space="preserve">local_id</w:t>
      </w:r>
      <w:r>
        <w:t xml:space="preserve"> </w:t>
      </w:r>
      <w:r>
        <w:t xml:space="preserve">lorsque le groupe supérieur fait partie de la même livraison, ou du</w:t>
      </w:r>
      <w:r>
        <w:t xml:space="preserve"> </w:t>
      </w:r>
      <w:r>
        <w:rPr>
          <w:rStyle w:val="VerbatimChar"/>
        </w:rPr>
        <w:t xml:space="preserve">global_uri</w:t>
      </w:r>
      <w:r>
        <w:t xml:space="preserve"> </w:t>
      </w:r>
      <w:r>
        <w:t xml:space="preserve">lorsqu’il se situe en dehors – un parti cantonal peut ainsi renvoyer à son parti national sans que celui-ci doive être livré. Lorsque les deux sont connus, les deux sont indiqués.</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41" w:name="classe-group"/>
    <w:p>
      <w:pPr>
        <w:pStyle w:val="berschrift2"/>
      </w:pPr>
      <w:r>
        <w:t xml:space="preserve">Classe: Group</w:t>
      </w:r>
    </w:p>
    <w:p>
      <w:pPr>
        <w:pStyle w:val="FirstParagraph"/>
      </w:pPr>
      <w:r>
        <w:rPr>
          <w:i/>
          <w:iCs/>
        </w:rPr>
        <w:t xml:space="preserve">Un groupe, une organisation ou une collectivité politique (p. ex. parti, commission, parlement, département).</w:t>
      </w:r>
    </w:p>
    <w:bookmarkStart w:id="127"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Désignation du groupe avec la langue dans laquelle elle est publiée. Lorsqu’un groupe porte officiellement un nom dans plusieurs langues, une entrée est saisie par langue.</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Abréviation (peut être multilingue).</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de l’entité.</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Site web fournissant de plus amples informations. Lorsque le site est publié à une adresse propre par langue, une entrée est saisie par langue.</w:t>
            </w:r>
          </w:p>
        </w:tc>
      </w:tr>
      <w:tr>
        <w:tc>
          <w:tcPr/>
          <w:p>
            <w:pPr>
              <w:pStyle w:val="Compact"/>
            </w:pPr>
            <w:r>
              <w:t xml:space="preserve">parent_groups</w:t>
            </w:r>
          </w:p>
        </w:tc>
        <w:tc>
          <w:tcPr/>
          <w:p>
            <w:pPr>
              <w:pStyle w:val="Compact"/>
            </w:pPr>
            <w:r>
              <w:t xml:space="preserve">*</w:t>
            </w:r>
            <w:r>
              <w:t xml:space="preserve"> </w:t>
            </w:r>
            <w:r>
              <w:t xml:space="preserve"> </w:t>
            </w:r>
            <w:hyperlink w:anchor="GroupReference">
              <w:r>
                <w:rPr>
                  <w:rStyle w:val="Hyperlink"/>
                </w:rPr>
                <w:t xml:space="preserve">GroupReference</w:t>
              </w:r>
            </w:hyperlink>
          </w:p>
        </w:tc>
        <w:tc>
          <w:tcPr/>
          <w:p>
            <w:pPr>
              <w:pStyle w:val="Compact"/>
            </w:pPr>
            <w:r>
              <w:t xml:space="preserve">Référence aux groupes supérieurs sous forme de GroupReference, c’est-à-dire indiquée au moyen de leur local_id ou de leur global_uri. Seule une véritable relation de subordination y a sa place : le parti faîtier d’un parti cantonal, la hiérarchie au sein de l’exécutif, une sous-commission rattachée à sa commission ou un groupe parlementaire rattaché à son parlement. (parentGroup est généralement utilisé au sein d’un même group_type, mais les liens intertypes sont autorisés, p. ex. groupe parlementaire → parlement.) Les partis qui portent un groupe parlementaire ne lui sont pas supérieurs et ne sont donc pas indiqués ici.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Référence spatiale (numéro OFS de commune, numéro OFS de canton ou pays). Formats : commune : ld.admin.ch/municipality/1234, canton : ld.admin.ch/canton/23, pays :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vers les statuts du parti (PDF ou page web ; facultatif pour les partis).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Couleur du parti sous forme de valeur hexadécimale (facultatif pour les partis, p. ex. « #FF0000 »).</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7"/>
    <w:bookmarkStart w:id="128"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exemples-2"/>
    <w:p>
      <w:pPr>
        <w:pStyle w:val="berschrift3"/>
      </w:pPr>
      <w:r>
        <w:t xml:space="preserve">Exemples</w:t>
      </w:r>
    </w:p>
    <w:bookmarkStart w:id="129" w:name="X1c70b61a01d8ae89b649534fb9fddffac253dfe"/>
    <w:p>
      <w:pPr>
        <w:pStyle w:val="berschrift4"/>
      </w:pPr>
      <w:r>
        <w:t xml:space="preserve">Exemple : Groupe parlementaire renvoyant au parlement dont il relève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4774335b9cee6eec99193491944a81eb12101cb"/>
    <w:p>
      <w:pPr>
        <w:pStyle w:val="berschrift4"/>
      </w:pPr>
      <w:r>
        <w:t xml:space="preserve">Exemple : Commission renvoyant à son conseil cantonal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dc4c46237616d2525ceb1e46f739430dda505a5"/>
    <w:p>
      <w:pPr>
        <w:pStyle w:val="berschrift4"/>
      </w:pPr>
      <w:r>
        <w:t xml:space="preserve">Exemple : Chancellerie d’État renvoyant à son gouvernement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e5ec302af3c3c19c5708cfd8cb0df6f52dae725"/>
    <w:p>
      <w:pPr>
        <w:pStyle w:val="berschrift4"/>
      </w:pPr>
      <w:r>
        <w:t xml:space="preserve">Exemple : Délégation bilingue auprès d’un organe intercantonal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576487eb3d2aefd9b25eb5d9a1bb3938c1d5948"/>
    <w:p>
      <w:pPr>
        <w:pStyle w:val="berschrift4"/>
      </w:pPr>
      <w:r>
        <w:t xml:space="preserve">Exemple : Commission extraparlementaire dotée du pouvoir de décision</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3"/>
    <w:bookmarkStart w:id="134" w:name="Xf51e15bb75be90332a4941dc0af87ee1478da2f"/>
    <w:p>
      <w:pPr>
        <w:pStyle w:val="berschrift4"/>
      </w:pPr>
      <w:r>
        <w:t xml:space="preserve">Exemple : Parti cantonal renvoyant au parti national</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41114913d96e8239a8169dc130b778dd0714983"/>
    <w:p>
      <w:pPr>
        <w:pStyle w:val="berschrift4"/>
      </w:pPr>
      <w:r>
        <w:t xml:space="preserve">Exemple : Parlement communal avec référence spatiale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9ea98cf718409c371af990e52da5daf754bc024"/>
    <w:p>
      <w:pPr>
        <w:pStyle w:val="berschrift4"/>
      </w:pPr>
      <w:r>
        <w:t xml:space="preserve">Exemple : Association avec IDE et forme juridique du registre du commerce</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6"/>
    <w:bookmarkStart w:id="137" w:name="X9314686a3c8cad027f61d6350b592131d48569c"/>
    <w:p>
      <w:pPr>
        <w:pStyle w:val="berschrift4"/>
      </w:pPr>
      <w:r>
        <w:t xml:space="preserve">Exemple : Bureau du conseil renvoyant à son parlement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0c5a941499bf8f5a460d922e03cdacbd64d5aa7"/>
    <w:p>
      <w:pPr>
        <w:pStyle w:val="berschrift4"/>
      </w:pPr>
      <w:r>
        <w:t xml:space="preserve">Exemple : Parti cantonal constituant un groupe propre à son niveau fédéral</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https://www.die-mitte.ch/</w:t>
      </w:r>
      <w:r>
        <w:br/>
      </w:r>
      <w:r>
        <w:rPr>
          <w:rStyle w:val="AttributeTok"/>
        </w:rPr>
        <w:t xml:space="preserve">  </w:t>
      </w:r>
      <w:r>
        <w:rPr>
          <w:rStyle w:val="FunctionTok"/>
        </w:rPr>
        <w:t xml:space="preserve">label</w:t>
      </w:r>
      <w:r>
        <w:rPr>
          <w:rStyle w:val="KeywordTok"/>
        </w:rPr>
        <w:t xml:space="preserve">:</w:t>
      </w:r>
      <w:r>
        <w:rPr>
          <w:rStyle w:val="AttributeTok"/>
        </w:rPr>
        <w:t xml:space="preserve"> Die Mitte Schweiz</w:t>
      </w:r>
    </w:p>
    <w:bookmarkEnd w:id="138"/>
    <w:bookmarkStart w:id="139" w:name="X8272be6eef929239e68ca03b6a022d498f31be7"/>
    <w:p>
      <w:pPr>
        <w:pStyle w:val="berschrift4"/>
      </w:pPr>
      <w:r>
        <w:t xml:space="preserve">Exemple : Groupe d’intérêt avec nom trilingue et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classe-grouptype"/>
    <w:p>
      <w:pPr>
        <w:pStyle w:val="berschrift2"/>
      </w:pPr>
      <w:r>
        <w:t xml:space="preserve">Classe: GroupType</w:t>
      </w:r>
    </w:p>
    <w:p>
      <w:pPr>
        <w:pStyle w:val="FirstParagraph"/>
      </w:pPr>
      <w:r>
        <w:rPr>
          <w:i/>
          <w:iCs/>
        </w:rPr>
        <w:t xml:space="preserve">Type de groupe (p. ex. parti, commission, parlement, département).</w:t>
      </w:r>
    </w:p>
    <w:bookmarkStart w:id="142"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Désignation du type telle que l’emploie l’organe qui la publie, avec la langue dans laquelle elle est publiée. Lorsqu’un organe publie la désignation en plusieurs langues, une entrée est saisie par langue.</w:t>
            </w:r>
          </w:p>
        </w:tc>
      </w:tr>
    </w:tbl>
    <w:bookmarkEnd w:id="142"/>
    <w:bookmarkStart w:id="143"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Trois règles s’appliquent aux types de groupes et d’organisations politiques.</w:t>
      </w:r>
    </w:p>
    <w:p>
      <w:pPr>
        <w:pStyle w:val="Textkrper"/>
      </w:pPr>
      <w:r>
        <w:rPr>
          <w:i/>
          <w:iCs/>
        </w:rPr>
        <w:t xml:space="preserve">La valeur désigne la fonction politique ; la désignation locale relève du libellé du groupe. Büro, Ratsleitung et Ufficio presidenziale reçoivent donc tous la valeur</w:t>
      </w:r>
      <w:r>
        <w:rPr>
          <w:i/>
          <w:iCs/>
        </w:rPr>
        <w:t xml:space="preserve"> </w:t>
      </w:r>
      <w:r>
        <w:rPr>
          <w:rStyle w:val="VerbatimChar"/>
          <w:i/>
          <w:iCs/>
        </w:rPr>
        <w:t xml:space="preserve">council_bureau</w:t>
      </w:r>
      <w:r>
        <w:rPr>
          <w:i/>
          <w:iCs/>
        </w:rPr>
        <w:t xml:space="preserve">.</w:t>
      </w:r>
    </w:p>
    <w:p>
      <w:pPr>
        <w:pStyle w:val="Textkrper"/>
      </w:pPr>
      <w:r>
        <w:rPr>
          <w:i/>
          <w:iCs/>
        </w:rPr>
        <w:t xml:space="preserve">Les valeurs apparentées partagent un préfixe. La famille</w:t>
      </w:r>
      <w:r>
        <w:rPr>
          <w:i/>
          <w:iCs/>
        </w:rPr>
        <w:t xml:space="preserve"> </w:t>
      </w:r>
      <w:r>
        <w:rPr>
          <w:rStyle w:val="VerbatimChar"/>
          <w:i/>
          <w:iCs/>
        </w:rPr>
        <w:t xml:space="preserve">council_</w:t>
      </w:r>
      <w:r>
        <w:rPr>
          <w:i/>
          <w:iCs/>
        </w:rPr>
        <w:t xml:space="preserve"> </w:t>
      </w:r>
      <w:r>
        <w:rPr>
          <w:i/>
          <w:iCs/>
        </w:rPr>
        <w:t xml:space="preserve">ne distingue pas selon le conseil : une chancellerie d’État et les services du parlement sont tous deux</w:t>
      </w:r>
      <w:r>
        <w:rPr>
          <w:i/>
          <w:iCs/>
        </w:rPr>
        <w:t xml:space="preserve"> </w:t>
      </w:r>
      <w:r>
        <w:rPr>
          <w:rStyle w:val="VerbatimChar"/>
          <w:i/>
          <w:iCs/>
        </w:rPr>
        <w:t xml:space="preserve">council_secretariat</w:t>
      </w:r>
      <w:r>
        <w:rPr>
          <w:i/>
          <w:iCs/>
        </w:rPr>
        <w:t xml:space="preserve">, le rattachement ressortant de</w:t>
      </w:r>
      <w:r>
        <w:rPr>
          <w:i/>
          <w:iCs/>
        </w:rPr>
        <w:t xml:space="preserve"> </w:t>
      </w:r>
      <w:r>
        <w:rPr>
          <w:rStyle w:val="VerbatimChar"/>
          <w:i/>
          <w:iCs/>
        </w:rPr>
        <w:t xml:space="preserve">parent_groups</w:t>
      </w:r>
      <w:r>
        <w:rPr>
          <w:i/>
          <w:iCs/>
        </w:rPr>
        <w:t xml:space="preserve">. Elle se subdivise en</w:t>
      </w:r>
      <w:r>
        <w:rPr>
          <w:i/>
          <w:iCs/>
        </w:rPr>
        <w:t xml:space="preserve"> </w:t>
      </w:r>
      <w:r>
        <w:rPr>
          <w:rStyle w:val="VerbatimChar"/>
          <w:i/>
          <w:iCs/>
        </w:rPr>
        <w:t xml:space="preserve">council_presidency</w:t>
      </w:r>
      <w:r>
        <w:rPr>
          <w:i/>
          <w:iCs/>
        </w:rPr>
        <w:t xml:space="preserve"> </w:t>
      </w:r>
      <w:r>
        <w:rPr>
          <w:i/>
          <w:iCs/>
        </w:rPr>
        <w:t xml:space="preserve">pour la présidence,</w:t>
      </w:r>
      <w:r>
        <w:rPr>
          <w:i/>
          <w:iCs/>
        </w:rPr>
        <w:t xml:space="preserve"> </w:t>
      </w:r>
      <w:r>
        <w:rPr>
          <w:rStyle w:val="VerbatimChar"/>
          <w:i/>
          <w:iCs/>
        </w:rPr>
        <w:t xml:space="preserve">council_bureau</w:t>
      </w:r>
      <w:r>
        <w:rPr>
          <w:i/>
          <w:iCs/>
        </w:rPr>
        <w:t xml:space="preserve"> </w:t>
      </w:r>
      <w:r>
        <w:rPr>
          <w:i/>
          <w:iCs/>
        </w:rPr>
        <w:t xml:space="preserve">pour l’organe de direction élargi à la représentation des groupes et</w:t>
      </w:r>
      <w:r>
        <w:rPr>
          <w:i/>
          <w:iCs/>
        </w:rPr>
        <w:t xml:space="preserve"> </w:t>
      </w:r>
      <w:r>
        <w:rPr>
          <w:rStyle w:val="VerbatimChar"/>
          <w:i/>
          <w:iCs/>
        </w:rPr>
        <w:t xml:space="preserve">council_secretariat</w:t>
      </w:r>
      <w:r>
        <w:rPr>
          <w:i/>
          <w:iCs/>
        </w:rPr>
        <w:t xml:space="preserve"> </w:t>
      </w:r>
      <w:r>
        <w:rPr>
          <w:i/>
          <w:iCs/>
        </w:rPr>
        <w:t xml:space="preserve">pour l’unité administrative composée d’employés. La famille</w:t>
      </w:r>
      <w:r>
        <w:rPr>
          <w:i/>
          <w:iCs/>
        </w:rPr>
        <w:t xml:space="preserve"> </w:t>
      </w:r>
      <w:r>
        <w:rPr>
          <w:rStyle w:val="VerbatimChar"/>
          <w:i/>
          <w:iCs/>
        </w:rPr>
        <w:t xml:space="preserve">committee_</w:t>
      </w:r>
      <w:r>
        <w:rPr>
          <w:i/>
          <w:iCs/>
        </w:rPr>
        <w:t xml:space="preserve"> </w:t>
      </w:r>
      <w:r>
        <w:rPr>
          <w:i/>
          <w:iCs/>
        </w:rPr>
        <w:t xml:space="preserve">suit le même modèle, avec</w:t>
      </w:r>
      <w:r>
        <w:rPr>
          <w:i/>
          <w:iCs/>
        </w:rPr>
        <w:t xml:space="preserve"> </w:t>
      </w:r>
      <w:r>
        <w:rPr>
          <w:rStyle w:val="VerbatimChar"/>
          <w:i/>
          <w:iCs/>
        </w:rPr>
        <w:t xml:space="preserve">committee</w:t>
      </w:r>
      <w:r>
        <w:rPr>
          <w:i/>
          <w:iCs/>
        </w:rPr>
        <w:t xml:space="preserve"> </w:t>
      </w:r>
      <w:r>
        <w:rPr>
          <w:i/>
          <w:iCs/>
        </w:rPr>
        <w:t xml:space="preserve">comme cas de base.</w:t>
      </w:r>
    </w:p>
    <w:p>
      <w:pPr>
        <w:pStyle w:val="Textkrper"/>
      </w:pPr>
      <w:r>
        <w:rPr>
          <w:i/>
          <w:iCs/>
        </w:rPr>
        <w:t xml:space="preserve">La forme juridique ne relève pas de ce vocabulaire, mais de</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5">
        <w:r>
          <w:rPr>
            <w:rStyle w:val="Hyperlink"/>
          </w:rPr>
          <w:t xml:space="preserve">act:GroupTypeEnum</w:t>
        </w:r>
      </w:hyperlink>
    </w:p>
    <w:bookmarkStart w:id="169"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Assemblée des personnes ayant le droit de vote en tant qu’organe législatif, en particulier l’assemblée communale. Contrairement à un conseil, elle n’est pas un organe élu.</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Commission permanente,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Commission instituée pour une tâche unique et dissoute une fois celle-ci accomplie, par opposition à une commission permanente.</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Groupe parlementaire.</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Organe dirigeant la marche des affaires d’un conseil, quelle que soit sa désignation locale (bureau, direction du conseil, comité de direction). S’emploie aussi bien pour le conseil législatif que pour le conseil exécutif ; la désignation locale est consignée dans le libellé.</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Présidence d’un conseil, pour le conseil législatif comme pour le conseil exécutif.</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généralement instituée par le gouvernement pour conseiller l’administration dans son domaine et pour examiner ses affaires au préalable ; certaines disposent en outre de compétences décisionnelles propres. Ce qui la distingue d’une commission parlementaire sont sa composition et sa base légale : ses membres sont des spécialistes externes et des représentantes et représentants d’intérêts plutôt que des membres du conseil, et elle se fonde sur le droit régissant l’organisation du gouvernement et de l’administration et non sur le droit parlementaire. Ce type existe tant au niveau fédéral qu’au niveau cantonal (p. ex. la Commission de la concurrence de la Confédération ; les commissions extraparlementaires du canton de Vaud). Une commission dont les membres sont des membres du conseil ne relève pas de cette valeur, même lorsqu’elle est rattachée à l’exécutif ; elle est saisie comme commission ou commission ad hoc avec le conseil exécutif comme groupe supérieur.</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issu de la société civile.</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Organe de contrôle ou de surveillance (p. ex. Contrôle fédéral des finances CDF, autorité de surveillance AS-MPC).</w:t>
            </w:r>
          </w:p>
        </w:tc>
      </w:tr>
      <w:tr>
        <w:tc>
          <w:tcPr/>
          <w:p>
            <w:pPr>
              <w:pStyle w:val="Compact"/>
            </w:pPr>
          </w:p>
        </w:tc>
        <w:tc>
          <w:tcPr/>
          <w:p>
            <w:pPr>
              <w:pStyle w:val="Compact"/>
            </w:pPr>
            <w:hyperlink ns1:id="rId162">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Unité administrative au service d’un conseil, quelle que soit sa désignation locale (services du parlement, secrétariat du conseil, chancellerie d’État, cantonale ou communale). S’emploie aussi bien pour le conseil législatif que pour le conseil exécutif : la chancellerie d’État est l’état-major du conseil exécutif, les services du parlement celui du conseil législatif.</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Références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au moyen de références légères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p>
      <w:pPr>
        <w:pStyle w:val="Compact"/>
        <w:numPr>
          <w:ilvl w:val="0"/>
          <w:numId w:val="1009"/>
        </w:numPr>
      </w:pPr>
      <w:r>
        <w:rPr>
          <w:b/>
          <w:bCs/>
        </w:rPr>
        <w:t xml:space="preserve">Circonscription électorale rattachée à l’affiliation et non à la personne (</w:t>
      </w:r>
      <w:r>
        <w:rPr>
          <w:rStyle w:val="VerbatimChar"/>
          <w:b/>
          <w:bCs/>
        </w:rPr>
        <w:t xml:space="preserve">electoral_district</w:t>
      </w:r>
      <w:r>
        <w:rPr>
          <w:b/>
          <w:bCs/>
        </w:rPr>
        <w:t xml:space="preserve">) :</w:t>
      </w:r>
      <w:r>
        <w:t xml:space="preserve"> </w:t>
      </w:r>
      <w:r>
        <w:t xml:space="preserve">la circonscription ne décrit pas la personne, mais le mandat – une même personne peut être élue, au fil du temps ou à différents niveaux fédéraux, dans des circonscriptions différentes.</w:t>
      </w:r>
      <w:r>
        <w:t xml:space="preserve"> </w:t>
      </w:r>
      <w:r>
        <w:rPr>
          <w:rStyle w:val="VerbatimChar"/>
        </w:rPr>
        <w:t xml:space="preserve">ElectoralDistrict</w:t>
      </w:r>
      <w:r>
        <w:t xml:space="preserve"> </w:t>
      </w:r>
      <w:r>
        <w:t xml:space="preserve">ne porte donc pas de validité temporelle propre, mais hérite des</w:t>
      </w:r>
      <w:r>
        <w:t xml:space="preserve"> </w:t>
      </w:r>
      <w:r>
        <w:rPr>
          <w:rStyle w:val="VerbatimChar"/>
        </w:rPr>
        <w:t xml:space="preserve">valid_from</w:t>
      </w:r>
      <w:r>
        <w:t xml:space="preserve">/</w:t>
      </w:r>
      <w:r>
        <w:rPr>
          <w:rStyle w:val="VerbatimChar"/>
        </w:rPr>
        <w:t xml:space="preserve">valid_through</w:t>
      </w:r>
      <w:r>
        <w:t xml:space="preserve"> </w:t>
      </w:r>
      <w:r>
        <w:t xml:space="preserve">de l’affiliation englobante. Pour l’identification, les ressources LINDAS des unités spatiales suisses sont prévues (voir</w:t>
      </w:r>
      <w:r>
        <w:t xml:space="preserve"> </w:t>
      </w:r>
      <w:r>
        <w:rPr>
          <w:rStyle w:val="VerbatimChar"/>
        </w:rPr>
        <w:t xml:space="preserve">global_uri</w:t>
      </w:r>
      <w:r>
        <w:t xml:space="preserve">).</w:t>
      </w:r>
    </w:p>
    <w:bookmarkStart w:id="174" w:name="classe-membership"/>
    <w:p>
      <w:pPr>
        <w:pStyle w:val="berschrift2"/>
      </w:pPr>
      <w:r>
        <w:t xml:space="preserve">Classe: Membership</w:t>
      </w:r>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bookmarkStart w:id="172"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Référence à un groupe avec des données instantanées au moment de la mise en relation.</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Lien vers la circonscription électorale.</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Rôle de la personne dans l’affiliation ou la fonction.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72"/>
    <w:bookmarkStart w:id="173"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classe-roletype"/>
    <w:p>
      <w:pPr>
        <w:pStyle w:val="berschrift2"/>
      </w:pPr>
      <w:r>
        <w:t xml:space="preserve">Classe: RoleType</w:t>
      </w:r>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bookmarkStart w:id="176"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 « role_type_enum » est réglé sur « other ». La désignation est saisie avec la langue dans laquelle elle est publiée ; lorsqu’elle est publiée en plusieurs langues, une entrée est saisie par langue.</w:t>
            </w:r>
          </w:p>
        </w:tc>
      </w:tr>
    </w:tbl>
    <w:bookmarkStart w:id="175"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177"/>
    <w:bookmarkEnd w:id="178"/>
    <w:bookmarkEnd w:id="179"/>
    <w:bookmarkStart w:id="182" w:name="enum-roleenum"/>
    <w:p>
      <w:pPr>
        <w:pStyle w:val="berschrift2"/>
      </w:pPr>
      <w:r>
        <w:t xml:space="preserve">Enum: RoleEnum</w:t>
      </w:r>
    </w:p>
    <w:p>
      <w:pPr>
        <w:pStyle w:val="FirstParagraph"/>
      </w:pPr>
      <w:r>
        <w:rPr>
          <w:i/>
          <w:iCs/>
        </w:rPr>
        <w:t xml:space="preserve">Rôles qu’une personne peut occuper dans le cadre d’une affiliation.</w:t>
      </w:r>
    </w:p>
    <w:p>
      <w:pPr>
        <w:pStyle w:val="Textkrper"/>
      </w:pPr>
      <w:r>
        <w:t xml:space="preserve">URI:</w:t>
      </w:r>
      <w:r>
        <w:t xml:space="preserve"> </w:t>
      </w:r>
      <w:hyperlink ns1:id="rId180">
        <w:r>
          <w:rPr>
            <w:rStyle w:val="Hyperlink"/>
          </w:rPr>
          <w:t xml:space="preserve">act:RoleEnum</w:t>
        </w:r>
      </w:hyperlink>
    </w:p>
    <w:bookmarkStart w:id="181"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r>
              <w:t xml:space="preserve">president</w:t>
            </w:r>
          </w:p>
        </w:tc>
        <w:tc>
          <w:tcPr/>
          <w:p>
            <w:pPr>
              <w:pStyle w:val="Compact"/>
            </w:pPr>
            <w:r>
              <w:t xml:space="preserve">Président ou président du groupe.</w:t>
            </w:r>
          </w:p>
        </w:tc>
      </w:tr>
      <w:tr>
        <w:tc>
          <w:tcPr>
            <w:shd w:val="clear" w:color="auto" w:fill="F2F2F2"/>
          </w:tcPr>
          <w:p>
            <w:pPr>
              <w:pStyle w:val="Compact"/>
            </w:pPr>
            <w:r>
              <w:t xml:space="preserve">deputy</w:t>
            </w:r>
          </w:p>
        </w:tc>
        <w:tc>
          <w:tcPr>
            <w:shd w:val="clear" w:color="auto" w:fill="F2F2F2"/>
          </w:tcPr>
          <w:p>
            <w:pPr>
              <w:pStyle w:val="Compact"/>
            </w:pPr>
            <w:r>
              <w:t xml:space="preserve">Rôle de suppléance ou de vice-présidence.</w:t>
            </w:r>
          </w:p>
        </w:tc>
      </w:tr>
      <w:tr>
        <w:tc>
          <w:tcPr/>
          <w:p>
            <w:pPr>
              <w:pStyle w:val="Compact"/>
            </w:pPr>
            <w:r>
              <w:t xml:space="preserve">other</w:t>
            </w:r>
          </w:p>
        </w:tc>
        <w:tc>
          <w:tcPr/>
          <w:p>
            <w:pPr>
              <w:pStyle w:val="Compact"/>
            </w:pPr>
            <w:r>
              <w:t xml:space="preserve">Autre rôle ; utiliser role_label pour un libellé descriptif.</w:t>
            </w:r>
          </w:p>
        </w:tc>
      </w:tr>
    </w:tbl>
    <w:bookmarkEnd w:id="181"/>
    <w:bookmarkEnd w:id="182"/>
    <w:bookmarkStart w:id="185" w:name="classe-electoraldistrict"/>
    <w:p>
      <w:pPr>
        <w:pStyle w:val="berschrift2"/>
      </w:pPr>
      <w:r>
        <w:t xml:space="preserve">Classe: ElectoralDistrict</w:t>
      </w:r>
    </w:p>
    <w:p>
      <w:pPr>
        <w:pStyle w:val="FirstParagraph"/>
      </w:pPr>
      <w:r>
        <w:rPr>
          <w:i/>
          <w:iCs/>
        </w:rPr>
        <w:t xml:space="preserve">Circonscription ou région électorale associée à une affiliation. La validité temporelle est héritée de l’affiliation englobante.</w:t>
      </w:r>
    </w:p>
    <w:bookmarkStart w:id="183"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183"/>
    <w:bookmarkStart w:id="184"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87">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(activité professionnelle, mandats politiques, association), en s’appuyant sur les catégories de divulgation de l’Assemblée fédérale.</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 ce qui permet des analyses, p. ex. à l’aide de codes NOGA. C’est le format d’échange d’eCH-0108 qui est saisi, soit</w:t>
      </w:r>
      <w:r>
        <w:t xml:space="preserve"> </w:t>
      </w:r>
      <w:r>
        <w:rPr>
          <w:rStyle w:val="VerbatimChar"/>
        </w:rPr>
        <w:t xml:space="preserve">CHE</w:t>
      </w:r>
      <w:r>
        <w:t xml:space="preserve"> </w:t>
      </w:r>
      <w:r>
        <w:t xml:space="preserve">suivi de neuf chiffres sans séparateurs (</w:t>
      </w:r>
      <w:r>
        <w:rPr>
          <w:rStyle w:val="VerbatimChar"/>
        </w:rPr>
        <w:t xml:space="preserve">CHE106063525</w:t>
      </w:r>
      <w:r>
        <w:t xml:space="preserve">).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203" w:name="classe-interestlink"/>
    <w:p>
      <w:pPr>
        <w:pStyle w:val="berschrift2"/>
      </w:pPr>
      <w:r>
        <w:t xml:space="preserve">Classe: InterestLink</w:t>
      </w:r>
    </w:p>
    <w:p>
      <w:pPr>
        <w:pStyle w:val="FirstParagraph"/>
      </w:pPr>
      <w:r>
        <w:rPr>
          <w:i/>
          <w:iCs/>
        </w:rPr>
        <w:t xml:space="preserve">Un lien d’intérêts (conflit d’intérêts, financement politique) d’une personne avec une organisation située en dehors du schéma des acteurs.</w:t>
      </w:r>
    </w:p>
    <w:bookmarkStart w:id="189"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de lien d’intérêts (activité professionnelle, mandat politique,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 l’organisation.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Comité ou organe au sein de l’organisation (p. ex. conseil d’administration, conseil de fondation, comité directeur, conseil de surveillance, comité consultatif, direction).</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Fonction ou rôle dans l’organisation (p. ex. président/e, vice-président/e, membre, délégué, directeur/directrice, conseiller/ère).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88"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exemples-3"/>
    <w:p>
      <w:pPr>
        <w:pStyle w:val="berschrift3"/>
      </w:pPr>
      <w:r>
        <w:t xml:space="preserve">Exemples</w:t>
      </w:r>
    </w:p>
    <w:bookmarkStart w:id="191" w:name="Xc8c180feb87de7b42689041da2e7578acdde7f8"/>
    <w:p>
      <w:pPr>
        <w:pStyle w:val="berschrift4"/>
      </w:pPr>
      <w:r>
        <w:t xml:space="preserve">Exemple : Société propre, dirigée à titre opérationnel</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22f08faf66566b905542a04ee89a9ac5336444d"/>
    <w:p>
      <w:pPr>
        <w:pStyle w:val="berschrift4"/>
      </w:pPr>
      <w:r>
        <w:t xml:space="preserve">Exemple : Présidence non rémunérée d’une alliance politique</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fa9084162aa0e4962ddbc70965acd84fab60707"/>
    <w:p>
      <w:pPr>
        <w:pStyle w:val="berschrift4"/>
      </w:pPr>
      <w:r>
        <w:t xml:space="preserve">Exemple : Mandat d’administrateur dans une holding</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d5ac5dbb807608890f0049e76f5ec8b9dd7b0ef"/>
    <w:p>
      <w:pPr>
        <w:pStyle w:val="berschrift4"/>
      </w:pPr>
      <w:r>
        <w:t xml:space="preserve">Exemple : Mandat d’administrateur dans une société immobilière</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e4cba1841cdb3037631de5facd5f5e865659dc9"/>
    <w:p>
      <w:pPr>
        <w:pStyle w:val="berschrift4"/>
      </w:pPr>
      <w:r>
        <w:t xml:space="preserve">Exemple : Affiliation à une association de branche</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f19344f41271174e9167b30d332f5a7ec80baa5"/>
    <w:p>
      <w:pPr>
        <w:pStyle w:val="berschrift4"/>
      </w:pPr>
      <w:r>
        <w:t xml:space="preserve">Exemple : Mandat au conseil de fondation avec IDE de l’organisation</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1312458ad31e048a8c5a5a919b4e9a33dd2c7c6"/>
    <w:p>
      <w:pPr>
        <w:pStyle w:val="berschrift4"/>
      </w:pPr>
      <w:r>
        <w:t xml:space="preserve">Exemple : Mandat au comité consultatif sans fonction d’organe</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f520f9b5a5b9264644c5ae5f1de097105147e90"/>
    <w:p>
      <w:pPr>
        <w:pStyle w:val="berschrift4"/>
      </w:pPr>
      <w:r>
        <w:t xml:space="preserve">Exemple : Participation bénévole à l’association porteuse d’un grand projet</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3a48ce9f09d0c6b8ec7aaee098a5c618d3c8756"/>
    <w:p>
      <w:pPr>
        <w:pStyle w:val="berschrift4"/>
      </w:pPr>
      <w:r>
        <w:t xml:space="preserve">Exemple : Présidence d’une association économique</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exemple-présidence-dun-parti-national"/>
    <w:p>
      <w:pPr>
        <w:pStyle w:val="berschrift4"/>
      </w:pPr>
      <w:r>
        <w:t xml:space="preserve">Exemple : Présidence d’un parti national</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e14619c161d2fce38c737b955742854aedfc1a5"/>
    <w:p>
      <w:pPr>
        <w:pStyle w:val="berschrift4"/>
      </w:pPr>
      <w:r>
        <w:t xml:space="preserve">Exemple : Mandat d’administrateur dans une entreprise technologique</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Types de liens d’intérêts (conflits d’intérêts, financement politique).</w:t>
      </w:r>
    </w:p>
    <w:p>
      <w:pPr>
        <w:pStyle w:val="Textkrper"/>
      </w:pPr>
      <w:r>
        <w:t xml:space="preserve">URI:</w:t>
      </w:r>
      <w:r>
        <w:t xml:space="preserve"> </w:t>
      </w:r>
      <w:hyperlink ns1:id="rId204">
        <w:r>
          <w:rPr>
            <w:rStyle w:val="Hyperlink"/>
          </w:rPr>
          <w:t xml:space="preserve">act:InterestTypeEnum</w:t>
        </w:r>
      </w:hyperlink>
    </w:p>
    <w:bookmarkStart w:id="208"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professionnelle en dehors du mandat politique (p. ex. emploi salarié, activité indépendante, conseil, mandats d’administrateur dans des entreprises privées).</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Mandat ou fonction politique à d’autres niveaux fédéraux ou dans d’autres collectivités (p. ex. appartenance à un parlement cantonal/communal, conseil d’État, commission extraparlementaire).</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Appartenance à des associations, des fédérations ou des organisations d’intérêts (p. ex. associations de branche, associations professionnelles, organisations de lobbying, fondations, associations d’utilité publique).</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Formes juridiques selon la liste de codes publiée par l’Office fédéral de la statistique sur la plateforme I14Y, conforme à eCH-0108 (données de base des entreprises et registre des entreprises). Voir https://register.ld.admin.ch/i14y/concept/legalForm</w:t>
      </w:r>
    </w:p>
    <w:p>
      <w:pPr>
        <w:pStyle w:val="Textkrper"/>
      </w:pPr>
      <w:r>
        <w:t xml:space="preserve">URI:</w:t>
      </w:r>
      <w:r>
        <w:t xml:space="preserve"> </w:t>
      </w:r>
      <w:hyperlink ns1:id="rId210">
        <w:r>
          <w:rPr>
            <w:rStyle w:val="Hyperlink"/>
          </w:rPr>
          <w:t xml:space="preserve">act:LegalFormEnum</w:t>
        </w:r>
      </w:hyperlink>
    </w:p>
    <w:bookmarkStart w:id="249"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5" w:name="éléments-partagés"/>
    <w:p>
      <w:pPr>
        <w:pStyle w:val="berschrift1"/>
      </w:pPr>
      <w:r>
        <w:t xml:space="preserve">Éléments partagés</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p>
      <w:pPr>
        <w:pStyle w:val="FirstParagraph"/>
      </w:pPr>
      <w:r>
        <w:t xml:space="preserve">Contrairement à une entité, une référence n’est pas identifiée en propre – elle ne fait que désigner une entité identifiée. C’est pourquoi le</w:t>
      </w:r>
      <w:r>
        <w:t xml:space="preserve"> </w:t>
      </w:r>
      <w:r>
        <w:rPr>
          <w:rStyle w:val="VerbatimChar"/>
        </w:rPr>
        <w:t xml:space="preserve">global_uri</w:t>
      </w:r>
      <w:r>
        <w:t xml:space="preserve"> </w:t>
      </w:r>
      <w:r>
        <w:t xml:space="preserve">n’y est pas obligatoire : il est seulement exigé qu’au moins l’une des deux indications</w:t>
      </w:r>
      <w:r>
        <w:t xml:space="preserve"> </w:t>
      </w:r>
      <w:r>
        <w:rPr>
          <w:rStyle w:val="VerbatimChar"/>
        </w:rPr>
        <w:t xml:space="preserve">local_id</w:t>
      </w:r>
      <w:r>
        <w:t xml:space="preserve"> </w:t>
      </w:r>
      <w:r>
        <w:t xml:space="preserve">ou</w:t>
      </w:r>
      <w:r>
        <w:t xml:space="preserve"> </w:t>
      </w:r>
      <w:r>
        <w:rPr>
          <w:rStyle w:val="VerbatimChar"/>
        </w:rPr>
        <w:t xml:space="preserve">global_uri</w:t>
      </w:r>
      <w:r>
        <w:t xml:space="preserve"> </w:t>
      </w:r>
      <w:r>
        <w:t xml:space="preserve">soit renseignée. Un système qui ne connaît que l’identifiant local de l’entité référencée indique celui-ci ; il est résolu au sein de la même livraison. Au-delà de la livraison, c’est le</w:t>
      </w:r>
      <w:r>
        <w:t xml:space="preserve"> </w:t>
      </w:r>
      <w:r>
        <w:rPr>
          <w:rStyle w:val="VerbatimChar"/>
        </w:rPr>
        <w:t xml:space="preserve">global_uri</w:t>
      </w:r>
      <w:r>
        <w:t xml:space="preserve"> </w:t>
      </w:r>
      <w:r>
        <w:t xml:space="preserve">qui fait le renvoi.</w:t>
      </w:r>
    </w:p>
    <w:bookmarkEnd w:id="252"/>
    <w:bookmarkStart w:id="256" w:name="classe-personreference"/>
    <w:p>
      <w:pPr>
        <w:pStyle w:val="berschrift2"/>
      </w:pPr>
      <w:r>
        <w:t xml:space="preserve">Classe: PersonReference</w:t>
      </w:r>
    </w:p>
    <w:p>
      <w:pPr>
        <w:pStyle w:val="FirstParagraph"/>
      </w:pPr>
      <w:r>
        <w:rPr>
          <w:i/>
          <w:iCs/>
        </w:rPr>
        <w:t xml:space="preserve">Référence légère à une personne avec les principales données d’identification au moment de la liaison. Préserve l’exactitude historique même si la personne change ultérieurement. La personne référencée est désignée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w:t>
      </w:r>
    </w:p>
    <w:bookmarkStart w:id="254"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facultatif comprenant les titres académiques et le nom officiel complet (par ex. « Dr. Maria Muster-Beispiel »).</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l’organe/du groupe au moment de la liaison.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bl>
    <w:bookmarkStart w:id="253"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53"/>
    <w:bookmarkEnd w:id="254"/>
    <w:bookmarkStart w:id="255"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5"/>
    <w:bookmarkEnd w:id="256"/>
    <w:bookmarkStart w:id="260" w:name="classe-groupreference"/>
    <w:p>
      <w:pPr>
        <w:pStyle w:val="berschrift2"/>
      </w:pPr>
      <w:r>
        <w:t xml:space="preserve">Classe: GroupReference</w:t>
      </w:r>
    </w:p>
    <w:p>
      <w:pPr>
        <w:pStyle w:val="FirstParagraph"/>
      </w:pPr>
      <w:r>
        <w:rPr>
          <w:i/>
          <w:iCs/>
        </w:rPr>
        <w:t xml:space="preserve">Référence légère à un groupe avec les principales données d’identification au moment de la liaison. Le groupe référencé est désigné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 Un</w:t>
      </w:r>
      <w:r>
        <w:rPr>
          <w:i/>
          <w:iCs/>
        </w:rPr>
        <w:t xml:space="preserve"> </w:t>
      </w:r>
      <w:r>
        <w:rPr>
          <w:rStyle w:val="VerbatimChar"/>
          <w:i/>
          <w:iCs/>
        </w:rPr>
        <w:t xml:space="preserve">local_id</w:t>
      </w:r>
      <w:r>
        <w:rPr>
          <w:i/>
          <w:iCs/>
        </w:rPr>
        <w:t xml:space="preserve"> </w:t>
      </w:r>
      <w:r>
        <w:rPr>
          <w:i/>
          <w:iCs/>
        </w:rPr>
        <w:t xml:space="preserve">est résolu au sein de la même livraison, un</w:t>
      </w:r>
      <w:r>
        <w:rPr>
          <w:i/>
          <w:iCs/>
        </w:rPr>
        <w:t xml:space="preserve"> </w:t>
      </w:r>
      <w:r>
        <w:rPr>
          <w:rStyle w:val="VerbatimChar"/>
          <w:i/>
          <w:iCs/>
        </w:rPr>
        <w:t xml:space="preserve">global_uri</w:t>
      </w:r>
      <w:r>
        <w:rPr>
          <w:i/>
          <w:iCs/>
        </w:rPr>
        <w:t xml:space="preserve"> </w:t>
      </w:r>
      <w:r>
        <w:rPr>
          <w:i/>
          <w:iCs/>
        </w:rPr>
        <w:t xml:space="preserve">également au-delà.</w:t>
      </w:r>
    </w:p>
    <w:bookmarkStart w:id="258"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Abréviation (peut être multilingue).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bl>
    <w:bookmarkStart w:id="257" w:name="contraintes-5"/>
    <w:p>
      <w:pPr>
        <w:pStyle w:val="berschrift5"/>
      </w:pPr>
      <w:r>
        <w:t xml:space="preserve">Contraintes</w:t>
      </w:r>
    </w:p>
    <w:p>
      <w:pPr>
        <w:pStyle w:val="FirstParagraph"/>
      </w:pPr>
      <w:r>
        <w:t xml:space="preserve">Au moins l’un des champs suivants doit être renseigné :</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57"/>
    <w:bookmarkEnd w:id="258"/>
    <w:bookmarkStart w:id="259"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59"/>
    <w:bookmarkEnd w:id="260"/>
    <w:bookmarkStart w:id="261" w:name="classes-utilisées-à-plusieurs-reprises"/>
    <w:p>
      <w:pPr>
        <w:pStyle w:val="berschrift2"/>
      </w:pPr>
      <w:r>
        <w:t xml:space="preserve">Classes utilisées à plusieurs reprises</w:t>
      </w:r>
    </w:p>
    <w:bookmarkEnd w:id="261"/>
    <w:bookmarkStart w:id="268" w:name="classe-address"/>
    <w:p>
      <w:pPr>
        <w:pStyle w:val="berschrift2"/>
      </w:pPr>
      <w:r>
        <w:t xml:space="preserve">Classe: Address</w:t>
      </w:r>
    </w:p>
    <w:p>
      <w:pPr>
        <w:pStyle w:val="FirstParagraph"/>
      </w:pPr>
      <w:r>
        <w:rPr>
          <w:i/>
          <w:iCs/>
        </w:rPr>
        <w:t xml:space="preserve">Une adresse avec un type (p. ex. adresse privée, adresse professionnelle) et une valeur.</w:t>
      </w:r>
    </w:p>
    <w:bookmarkStart w:id="263"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 l’adresse issue du répertoire fédéral des adresses de bâtiments. La couche est accessible à l’adresse https://map.geo.admin.ch/#/map?topic=ech&amp;layers=ch.swisstopo.amtliches-gebaeudeadressverzeichnis. Exemple d’URI valide :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Localité.</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de pays ISO 3166-1 alpha-2.</w:t>
            </w:r>
          </w:p>
        </w:tc>
      </w:tr>
    </w:tbl>
    <w:bookmarkStart w:id="262" w:name="contraintes-6"/>
    <w:p>
      <w:pPr>
        <w:pStyle w:val="berschrift5"/>
      </w:pPr>
      <w:r>
        <w:t xml:space="preserve">Contraintes</w:t>
      </w:r>
    </w:p>
    <w:p>
      <w:pPr>
        <w:pStyle w:val="FirstParagraph"/>
      </w:pPr>
      <w:r>
        <w:t xml:space="preserve">Au moins l’un des champs suivants doit être renseigné :</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62"/>
    <w:bookmarkEnd w:id="263"/>
    <w:bookmarkStart w:id="264"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4"/>
    <w:bookmarkStart w:id="267" w:name="exemples-4"/>
    <w:p>
      <w:pPr>
        <w:pStyle w:val="berschrift3"/>
      </w:pPr>
      <w:r>
        <w:t xml:space="preserve">Exemples</w:t>
      </w:r>
    </w:p>
    <w:bookmarkStart w:id="265" w:name="exemple-swiss-politicians-beat-jans-1"/>
    <w:p>
      <w:pPr>
        <w:pStyle w:val="berschrift4"/>
      </w:pPr>
      <w:r>
        <w:t xml:space="preserve">Exemple :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5"/>
    <w:bookmarkStart w:id="266" w:name="X1eeabce250e671180e478f6e90bf3cba87d0015"/>
    <w:p>
      <w:pPr>
        <w:pStyle w:val="berschrift4"/>
      </w:pPr>
      <w:r>
        <w:t xml:space="preserve">Exemple :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6"/>
    <w:bookmarkEnd w:id="267"/>
    <w:bookmarkEnd w:id="268"/>
    <w:bookmarkStart w:id="271" w:name="enum-addresstypeenum"/>
    <w:p>
      <w:pPr>
        <w:pStyle w:val="berschrift2"/>
      </w:pPr>
      <w:r>
        <w:t xml:space="preserve">Enum: AddressTypeEnum</w:t>
      </w:r>
    </w:p>
    <w:p>
      <w:pPr>
        <w:pStyle w:val="FirstParagraph"/>
      </w:pPr>
      <w:r>
        <w:rPr>
          <w:i/>
          <w:iCs/>
        </w:rPr>
        <w:t xml:space="preserve">Types d’adresses.</w:t>
      </w:r>
    </w:p>
    <w:p>
      <w:pPr>
        <w:pStyle w:val="Textkrper"/>
      </w:pPr>
      <w:r>
        <w:t xml:space="preserve">URI:</w:t>
      </w:r>
      <w:r>
        <w:t xml:space="preserve"> </w:t>
      </w:r>
      <w:hyperlink ns1:id="rId269">
        <w:r>
          <w:rPr>
            <w:rStyle w:val="Hyperlink"/>
          </w:rPr>
          <w:t xml:space="preserve">act:AddressTypeEnum</w:t>
        </w:r>
      </w:hyperlink>
    </w:p>
    <w:bookmarkStart w:id="270" w:name="valeurs-admissibles-7"/>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r>
              <w:t xml:space="preserve">businessAddress</w:t>
            </w:r>
          </w:p>
        </w:tc>
        <w:tc>
          <w:tcPr/>
          <w:p>
            <w:pPr>
              <w:pStyle w:val="Compact"/>
            </w:pPr>
            <w:r>
              <w:t xml:space="preserve">Adresse professionnelle.</w:t>
            </w: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bl>
    <w:bookmarkEnd w:id="270"/>
    <w:bookmarkEnd w:id="271"/>
    <w:bookmarkStart w:id="274" w:name="classe-contact"/>
    <w:p>
      <w:pPr>
        <w:pStyle w:val="berschrift2"/>
      </w:pPr>
      <w:r>
        <w:t xml:space="preserve">Classe: Contact</w:t>
      </w:r>
    </w:p>
    <w:p>
      <w:pPr>
        <w:pStyle w:val="FirstParagraph"/>
      </w:pPr>
      <w:r>
        <w:rPr>
          <w:i/>
          <w:iCs/>
        </w:rPr>
        <w:t xml:space="preserve">Informations de contact d’une personne indiquant un type (p. ex. e-mail, LinkedIn) et une valeur.</w:t>
      </w:r>
    </w:p>
    <w:bookmarkStart w:id="272"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bl>
    <w:bookmarkEnd w:id="272"/>
    <w:bookmarkStart w:id="273"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3"/>
    <w:p>
      <w:r>
        <w:br w:type="page"/>
      </w:r>
    </w:p>
    <w:bookmarkEnd w:id="274"/>
    <w:bookmarkEnd w:id="275"/>
    <w:bookmarkStart w:id="291" w:name="annexe-a-références-et-bibliographie"/>
    <w:p>
      <w:pPr>
        <w:pStyle w:val="berschrift1"/>
      </w:pPr>
      <w:r>
        <w:t xml:space="preserve">Annexe A – Références et bibliographie</w:t>
      </w:r>
    </w:p>
    <w:p>
      <w:pPr>
        <w:pStyle w:val="FirstParagraph"/>
      </w:pPr>
      <w:r>
        <w:t xml:space="preserve">La version indiquée est celle sur la base de laquelle la présente norme a été élaborée.</w:t>
      </w:r>
    </w:p>
    <w:bookmarkStart w:id="281" w:name="X7396f4b7d2ae2a39c8f1ae22fee601846a8c38e"/>
    <w:p>
      <w:pPr>
        <w:pStyle w:val="berschrift2"/>
      </w:pPr>
      <w:r>
        <w:t xml:space="preserve">Normes du groupe spécialisé « Affaires politiques »</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 Métaprocessus relatifs aux affaires politiques, version 1.0.0 – éléments de données communs :</w:t>
            </w:r>
            <w:r>
              <w:t xml:space="preserve"> </w:t>
            </w:r>
            <w:hyperlink ns1:id="rId276">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 Fonctionnement public des conseils, version 1.0.0 :</w:t>
            </w:r>
            <w:r>
              <w:t xml:space="preserve"> </w:t>
            </w:r>
            <w:hyperlink ns1:id="rId277">
              <w:r>
                <w:rPr>
                  <w:rStyle w:val="Hyperlink"/>
                </w:rPr>
                <w:t xml:space="preserve">https://www.ech.ch/de/ech/ech-0293</w:t>
              </w:r>
            </w:hyperlink>
          </w:p>
        </w:tc>
      </w:tr>
      <w:tr>
        <w:tc>
          <w:tcPr/>
          <w:p>
            <w:pPr>
              <w:pStyle w:val="Compact"/>
            </w:pPr>
            <w:r>
              <w:t xml:space="preserve">[eCH-0295]</w:t>
            </w:r>
          </w:p>
        </w:tc>
        <w:tc>
          <w:tcPr/>
          <w:p>
            <w:pPr>
              <w:pStyle w:val="Compact"/>
            </w:pPr>
            <w:r>
              <w:t xml:space="preserve">eCH-0295 : Affaires parlementaires, version 1.0.0 :</w:t>
            </w:r>
            <w:r>
              <w:t xml:space="preserve"> </w:t>
            </w:r>
            <w:hyperlink ns1:id="rId278">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 Actes législatifs et textes de loi, version 1.0.0 :</w:t>
            </w:r>
            <w:r>
              <w:t xml:space="preserve"> </w:t>
            </w:r>
            <w:hyperlink ns1:id="rId279">
              <w:r>
                <w:rPr>
                  <w:rStyle w:val="Hyperlink"/>
                </w:rPr>
                <w:t xml:space="preserve">https://www.ech.ch/de/ech/ech-0296</w:t>
              </w:r>
            </w:hyperlink>
          </w:p>
        </w:tc>
      </w:tr>
      <w:tr>
        <w:tc>
          <w:tcPr/>
          <w:p>
            <w:pPr>
              <w:pStyle w:val="Compact"/>
            </w:pPr>
            <w:r>
              <w:t xml:space="preserve">[eCH-0297]</w:t>
            </w:r>
          </w:p>
        </w:tc>
        <w:tc>
          <w:tcPr/>
          <w:p>
            <w:pPr>
              <w:pStyle w:val="Compact"/>
            </w:pPr>
            <w:r>
              <w:t xml:space="preserve">eCH-0297 : Consultations publiques, version 1.0.0 :</w:t>
            </w:r>
            <w:r>
              <w:t xml:space="preserve"> </w:t>
            </w:r>
            <w:hyperlink ns1:id="rId280">
              <w:r>
                <w:rPr>
                  <w:rStyle w:val="Hyperlink"/>
                </w:rPr>
                <w:t xml:space="preserve">https://www.ech.ch/de/ech/ech-0297</w:t>
              </w:r>
            </w:hyperlink>
          </w:p>
        </w:tc>
      </w:tr>
    </w:tbl>
    <w:bookmarkEnd w:id="281"/>
    <w:bookmarkStart w:id="284" w:name="autres-normes-ech"/>
    <w:p>
      <w:pPr>
        <w:pStyle w:val="berschrift2"/>
      </w:pPr>
      <w:r>
        <w:t xml:space="preserve">Autres normes eCH</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 Datenstandard Personendaten, version 9.0.0 (approuvée, 27.07.2023). Base des types de noms dans</w:t>
            </w:r>
            <w:r>
              <w:t xml:space="preserve"> </w:t>
            </w:r>
            <w:r>
              <w:rPr>
                <w:rStyle w:val="VerbatimChar"/>
              </w:rPr>
              <w:t xml:space="preserve">NameTypeEnum</w:t>
            </w:r>
            <w:r>
              <w:t xml:space="preserve"> </w:t>
            </w:r>
            <w:r>
              <w:t xml:space="preserve">(</w:t>
            </w:r>
            <w:r>
              <w:rPr>
                <w:rStyle w:val="VerbatimChar"/>
              </w:rPr>
              <w:t xml:space="preserve">personNameData</w:t>
            </w:r>
            <w:r>
              <w:t xml:space="preserve">) :</w:t>
            </w:r>
            <w:r>
              <w:t xml:space="preserve"> </w:t>
            </w:r>
            <w:hyperlink ns1:id="rId282">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 Datenstandard: Unternehmensstammdaten und Unternehmensregister, version 6.0.0 (approuvée, 04.04.2024). Définit le format d’échange de l’IDE (</w:t>
            </w:r>
            <w:r>
              <w:rPr>
                <w:rStyle w:val="VerbatimChar"/>
              </w:rPr>
              <w:t xml:space="preserve">organization_uid</w:t>
            </w:r>
            <w:r>
              <w:t xml:space="preserve">) et constitue la norme à laquelle la liste de codes des formes juridiques de</w:t>
            </w:r>
            <w:r>
              <w:t xml:space="preserve"> </w:t>
            </w:r>
            <w:r>
              <w:rPr>
                <w:rStyle w:val="VerbatimChar"/>
              </w:rPr>
              <w:t xml:space="preserve">LegalFormEnum</w:t>
            </w:r>
            <w:r>
              <w:t xml:space="preserve"> </w:t>
            </w:r>
            <w:r>
              <w:t xml:space="preserve">est conforme :</w:t>
            </w:r>
            <w:r>
              <w:t xml:space="preserve"> </w:t>
            </w:r>
            <w:hyperlink ns1:id="rId283">
              <w:r>
                <w:rPr>
                  <w:rStyle w:val="Hyperlink"/>
                </w:rPr>
                <w:t xml:space="preserve">https://www.ech.ch/de/ech/ech-0108/6.0.0</w:t>
              </w:r>
            </w:hyperlink>
          </w:p>
        </w:tc>
      </w:tr>
    </w:tbl>
    <w:bookmarkEnd w:id="284"/>
    <w:bookmarkStart w:id="290" w:name="listes-de-codes-et-autres-sources"/>
    <w:p>
      <w:pPr>
        <w:pStyle w:val="berschrift2"/>
      </w:pPr>
      <w:r>
        <w:t xml:space="preserve">Listes de codes et autres sources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Plateforme d’interopérabilité de l’Office fédéral de la statistique. Source des listes de codes pour la forme juridique (</w:t>
            </w:r>
            <w:r>
              <w:rPr>
                <w:rStyle w:val="VerbatimChar"/>
              </w:rPr>
              <w:t xml:space="preserve">LegalFormEnum</w:t>
            </w:r>
            <w:r>
              <w:t xml:space="preserve">) et le sexe (</w:t>
            </w:r>
            <w:r>
              <w:rPr>
                <w:rStyle w:val="VerbatimChar"/>
              </w:rPr>
              <w:t xml:space="preserve">GenderCodeEnum</w:t>
            </w:r>
            <w:r>
              <w:t xml:space="preserve">) :</w:t>
            </w:r>
            <w:r>
              <w:t xml:space="preserve"> </w:t>
            </w:r>
            <w:hyperlink ns1:id="rId285">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 l’administration fédérale suisse. Identifiants des unités spatiales suisses (pays, canton, district, commune) pour</w:t>
            </w:r>
            <w:r>
              <w:t xml:space="preserve"> </w:t>
            </w:r>
            <w:r>
              <w:rPr>
                <w:rStyle w:val="VerbatimChar"/>
              </w:rPr>
              <w:t xml:space="preserve">spatial</w:t>
            </w:r>
            <w:r>
              <w:t xml:space="preserve"> </w:t>
            </w:r>
            <w:r>
              <w:t xml:space="preserve">et</w:t>
            </w:r>
            <w:r>
              <w:t xml:space="preserve"> </w:t>
            </w:r>
            <w:r>
              <w:rPr>
                <w:rStyle w:val="VerbatimChar"/>
              </w:rPr>
              <w:t xml:space="preserve">ElectoralDistrict</w:t>
            </w:r>
            <w:r>
              <w:t xml:space="preserve"> </w:t>
            </w:r>
            <w:r>
              <w:t xml:space="preserve">:</w:t>
            </w:r>
            <w:r>
              <w:t xml:space="preserve"> </w:t>
            </w:r>
            <w:hyperlink ns1:id="rId286">
              <w:r>
                <w:rPr>
                  <w:rStyle w:val="Hyperlink"/>
                </w:rPr>
                <w:t xml:space="preserve">https://ld.admin.ch</w:t>
              </w:r>
            </w:hyperlink>
          </w:p>
        </w:tc>
      </w:tr>
      <w:tr>
        <w:tc>
          <w:tcPr/>
          <w:p>
            <w:pPr>
              <w:pStyle w:val="Compact"/>
            </w:pPr>
            <w:r>
              <w:t xml:space="preserve">[NOGA]</w:t>
            </w:r>
          </w:p>
        </w:tc>
        <w:tc>
          <w:tcPr/>
          <w:p>
            <w:pPr>
              <w:pStyle w:val="Compact"/>
            </w:pPr>
            <w:r>
              <w:t xml:space="preserve">Nomenclature générale des activités économiques de l’Office fédéral de la statistique. Permet des analyses via l’IDE des organisations référencées.</w:t>
            </w:r>
          </w:p>
        </w:tc>
      </w:tr>
      <w:tr>
        <w:tc>
          <w:tcPr>
            <w:shd w:val="clear" w:color="auto" w:fill="F2F2F2"/>
          </w:tcPr>
          <w:p>
            <w:pPr>
              <w:pStyle w:val="Compact"/>
            </w:pPr>
            <w:r>
              <w:t xml:space="preserve">[Wikidata]</w:t>
            </w:r>
          </w:p>
        </w:tc>
        <w:tc>
          <w:tcPr>
            <w:shd w:val="clear" w:color="auto" w:fill="F2F2F2"/>
          </w:tcPr>
          <w:p>
            <w:pPr>
              <w:pStyle w:val="Compact"/>
            </w:pPr>
            <w:r>
              <w:t xml:space="preserve">Base de connaissances libre. IRI d’entité (</w:t>
            </w:r>
            <w:r>
              <w:rPr>
                <w:rStyle w:val="VerbatimChar"/>
              </w:rPr>
              <w:t xml:space="preserve">http://www.wikidata.org/entity/Q…</w:t>
            </w:r>
            <w:r>
              <w:t xml:space="preserve">) dans</w:t>
            </w:r>
            <w:r>
              <w:t xml:space="preserve"> </w:t>
            </w:r>
            <w:r>
              <w:rPr>
                <w:rStyle w:val="VerbatimChar"/>
              </w:rPr>
              <w:t xml:space="preserve">wikidata_uri</w:t>
            </w:r>
            <w:r>
              <w:t xml:space="preserve"> </w:t>
            </w:r>
            <w:r>
              <w:t xml:space="preserve">:</w:t>
            </w:r>
            <w:r>
              <w:t xml:space="preserve"> </w:t>
            </w:r>
            <w:hyperlink ns1:id="rId287">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Codes de langue, utilisés dans le slot</w:t>
            </w:r>
            <w:r>
              <w:t xml:space="preserve"> </w:t>
            </w:r>
            <w:r>
              <w:rPr>
                <w:rStyle w:val="VerbatimChar"/>
              </w:rPr>
              <w:t xml:space="preserve">language</w:t>
            </w:r>
            <w:r>
              <w:t xml:space="preserve"> </w:t>
            </w:r>
            <w:r>
              <w:t xml:space="preserve">de</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Vocabulaire commun pour les données structurées. Source de plusieurs affectations</w:t>
            </w:r>
            <w:r>
              <w:t xml:space="preserve"> </w:t>
            </w:r>
            <w:r>
              <w:rPr>
                <w:rStyle w:val="VerbatimChar"/>
              </w:rPr>
              <w:t xml:space="preserve">slot_uri</w:t>
            </w:r>
            <w:r>
              <w:t xml:space="preserve"> </w:t>
            </w:r>
            <w:r>
              <w:t xml:space="preserve">:</w:t>
            </w:r>
            <w:r>
              <w:t xml:space="preserve"> </w:t>
            </w:r>
            <w:hyperlink ns1:id="rId288">
              <w:r>
                <w:rPr>
                  <w:rStyle w:val="Hyperlink"/>
                </w:rPr>
                <w:t xml:space="preserve">https://schema.org</w:t>
              </w:r>
            </w:hyperlink>
          </w:p>
        </w:tc>
      </w:tr>
      <w:tr>
        <w:tc>
          <w:tcPr/>
          <w:p>
            <w:pPr>
              <w:pStyle w:val="Compact"/>
            </w:pPr>
            <w:r>
              <w:t xml:space="preserve">[LinkML]</w:t>
            </w:r>
          </w:p>
        </w:tc>
        <w:tc>
          <w:tcPr/>
          <w:p>
            <w:pPr>
              <w:pStyle w:val="Compact"/>
            </w:pPr>
            <w:r>
              <w:t xml:space="preserve">Langage de modélisation dans lequel la présente norme est définie :</w:t>
            </w:r>
            <w:r>
              <w:t xml:space="preserve"> </w:t>
            </w:r>
            <w:hyperlink ns1:id="rId289">
              <w:r>
                <w:rPr>
                  <w:rStyle w:val="Hyperlink"/>
                </w:rPr>
                <w:t xml:space="preserve">https://linkml.io</w:t>
              </w:r>
            </w:hyperlink>
          </w:p>
        </w:tc>
      </w:tr>
    </w:tbl>
    <w:bookmarkEnd w:id="290"/>
    <w:bookmarkEnd w:id="291"/>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86" Target="https://ld.admin.ch" TargetMode="External" /><Relationship Type="http://schemas.openxmlformats.org/officeDocument/2006/relationships/hyperlink" Id="rId269"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89"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8"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2" Target="https://www.ech.ch/de/ech/ech-0011/9.0.0" TargetMode="External" /><Relationship Type="http://schemas.openxmlformats.org/officeDocument/2006/relationships/hyperlink" Id="rId283" Target="https://www.ech.ch/de/ech/ech-0108/6.0.0" TargetMode="External" /><Relationship Type="http://schemas.openxmlformats.org/officeDocument/2006/relationships/hyperlink" Id="rId276" Target="https://www.ech.ch/de/ech/ech-0292" TargetMode="External" /><Relationship Type="http://schemas.openxmlformats.org/officeDocument/2006/relationships/hyperlink" Id="rId277" Target="https://www.ech.ch/de/ech/ech-0293" TargetMode="External" /><Relationship Type="http://schemas.openxmlformats.org/officeDocument/2006/relationships/hyperlink" Id="rId278" Target="https://www.ech.ch/de/ech/ech-0295" TargetMode="External" /><Relationship Type="http://schemas.openxmlformats.org/officeDocument/2006/relationships/hyperlink" Id="rId279" Target="https://www.ech.ch/de/ech/ech-0296" TargetMode="External" /><Relationship Type="http://schemas.openxmlformats.org/officeDocument/2006/relationships/hyperlink" Id="rId280" Target="https://www.ech.ch/de/ech/ech-0297" TargetMode="External" /><Relationship Type="http://schemas.openxmlformats.org/officeDocument/2006/relationships/hyperlink" Id="rId28" Target="https://www.ech.ch/fr/ech/ech-0011/9.0.0" TargetMode="External" /><Relationship Type="http://schemas.openxmlformats.org/officeDocument/2006/relationships/hyperlink" Id="rId285"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87"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86" Target="https://ld.admin.ch" TargetMode="External" /><Relationship Type="http://schemas.openxmlformats.org/officeDocument/2006/relationships/hyperlink" Id="rId269"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89"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8"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2" Target="https://www.ech.ch/de/ech/ech-0011/9.0.0" TargetMode="External" /><Relationship Type="http://schemas.openxmlformats.org/officeDocument/2006/relationships/hyperlink" Id="rId283" Target="https://www.ech.ch/de/ech/ech-0108/6.0.0" TargetMode="External" /><Relationship Type="http://schemas.openxmlformats.org/officeDocument/2006/relationships/hyperlink" Id="rId276" Target="https://www.ech.ch/de/ech/ech-0292" TargetMode="External" /><Relationship Type="http://schemas.openxmlformats.org/officeDocument/2006/relationships/hyperlink" Id="rId277" Target="https://www.ech.ch/de/ech/ech-0293" TargetMode="External" /><Relationship Type="http://schemas.openxmlformats.org/officeDocument/2006/relationships/hyperlink" Id="rId278" Target="https://www.ech.ch/de/ech/ech-0295" TargetMode="External" /><Relationship Type="http://schemas.openxmlformats.org/officeDocument/2006/relationships/hyperlink" Id="rId279" Target="https://www.ech.ch/de/ech/ech-0296" TargetMode="External" /><Relationship Type="http://schemas.openxmlformats.org/officeDocument/2006/relationships/hyperlink" Id="rId280" Target="https://www.ech.ch/de/ech/ech-0297" TargetMode="External" /><Relationship Type="http://schemas.openxmlformats.org/officeDocument/2006/relationships/hyperlink" Id="rId28" Target="https://www.ech.ch/fr/ech/ech-0011/9.0.0" TargetMode="External" /><Relationship Type="http://schemas.openxmlformats.org/officeDocument/2006/relationships/hyperlink" Id="rId285"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87"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2026-08-08T18:22:13Z</dcterms:created>
  <dcterms:modified xsi:type="dcterms:W3CDTF">2026-08-08T18:22:13Z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