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912CD" w14:textId="77777777" w:rsidR="00D533DD" w:rsidRPr="00D533DD" w:rsidRDefault="00D533DD" w:rsidP="00D533DD">
      <w:pPr>
        <w:spacing w:after="0" w:line="540" w:lineRule="atLeast"/>
        <w:rPr>
          <w:rFonts w:ascii="Hind" w:eastAsia="Times New Roman" w:hAnsi="Hind" w:cs="Hind"/>
          <w:kern w:val="0"/>
          <w:lang w:eastAsia="en-GB"/>
          <w14:ligatures w14:val="none"/>
        </w:rPr>
      </w:pPr>
      <w:r w:rsidRPr="00D533DD">
        <w:rPr>
          <w:rFonts w:ascii="Hind" w:eastAsia="Times New Roman" w:hAnsi="Hind" w:cs="Hind"/>
          <w:kern w:val="0"/>
          <w:lang w:eastAsia="en-GB"/>
          <w14:ligatures w14:val="none"/>
        </w:rPr>
        <w:t>Referenzierung und Abfrage der Daten von CASEMATES</w:t>
      </w:r>
    </w:p>
    <w:p w14:paraId="14B30862" w14:textId="77777777" w:rsidR="00D533DD" w:rsidRPr="00D533DD" w:rsidRDefault="00D533DD" w:rsidP="00D533DD">
      <w:pPr>
        <w:spacing w:after="0" w:line="450" w:lineRule="atLeast"/>
        <w:rPr>
          <w:rFonts w:ascii="Hind" w:eastAsia="Times New Roman" w:hAnsi="Hind" w:cs="Hind"/>
          <w:b/>
          <w:bCs/>
          <w:color w:val="1F2937"/>
          <w:kern w:val="0"/>
          <w:lang w:eastAsia="en-GB"/>
          <w14:ligatures w14:val="none"/>
        </w:rPr>
      </w:pPr>
      <w:r w:rsidRPr="00D533DD">
        <w:rPr>
          <w:rFonts w:ascii="Hind" w:eastAsia="Times New Roman" w:hAnsi="Hind" w:cs="Hind"/>
          <w:b/>
          <w:bCs/>
          <w:color w:val="1F2937"/>
          <w:kern w:val="0"/>
          <w:lang w:eastAsia="en-GB"/>
          <w14:ligatures w14:val="none"/>
        </w:rPr>
        <w:t>Schema.org für eine bessere Referenzierung der Gesetzgebung des Bundes</w:t>
      </w:r>
    </w:p>
    <w:p w14:paraId="33555D23" w14:textId="77777777" w:rsidR="00D533DD" w:rsidRPr="00D533DD" w:rsidRDefault="00D533DD" w:rsidP="00D533DD">
      <w:pPr>
        <w:pBdr>
          <w:top w:val="single" w:sz="2" w:space="0" w:color="E5E7EB"/>
          <w:left w:val="single" w:sz="2" w:space="0" w:color="E5E7EB"/>
          <w:bottom w:val="single" w:sz="2" w:space="0" w:color="E5E7EB"/>
          <w:right w:val="single" w:sz="2" w:space="0" w:color="E5E7EB"/>
        </w:pBdr>
        <w:spacing w:after="0"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Um den Suchmaschinen die Indexierung der Rechtstexte der Schweiz zu erleichtern, wird eine vereinfachte Beschreibung der Texte im Format JSON-LD nach dem Modell </w:t>
      </w:r>
      <w:hyperlink r:id="rId5" w:tgtFrame="_blank" w:history="1">
        <w:r w:rsidRPr="00D533DD">
          <w:rPr>
            <w:rFonts w:ascii="Hind" w:eastAsia="Times New Roman" w:hAnsi="Hind" w:cs="Hind"/>
            <w:color w:val="4A90E2"/>
            <w:kern w:val="0"/>
            <w:u w:val="single"/>
            <w:bdr w:val="single" w:sz="2" w:space="0" w:color="E5E7EB" w:frame="1"/>
            <w:lang w:eastAsia="en-GB"/>
            <w14:ligatures w14:val="none"/>
          </w:rPr>
          <w:t>schema.org</w:t>
        </w:r>
      </w:hyperlink>
      <w:r w:rsidRPr="00D533DD">
        <w:rPr>
          <w:rFonts w:ascii="Hind" w:eastAsia="Times New Roman" w:hAnsi="Hind" w:cs="Hind"/>
          <w:color w:val="1F2937"/>
          <w:kern w:val="0"/>
          <w:lang w:eastAsia="en-GB"/>
          <w14:ligatures w14:val="none"/>
        </w:rPr>
        <w:t>in den Seiten der Website eingebettet. Das Modell schema.org wird seit 2011 von Google, Bing, Yahoo und Yandex für die Beschreibung von im Internet publizierten Seiten empfohlen. Die nach dem Modell schema.org strukturierten Metadaten werden von diesen Suchmaschinen analysiert, um deren Verständnis des Inhalts der Seite zu verbessern.</w:t>
      </w:r>
    </w:p>
    <w:p w14:paraId="6CE2D0C4" w14:textId="77777777" w:rsidR="00D533DD" w:rsidRPr="00D533DD" w:rsidRDefault="00D533DD" w:rsidP="00D53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Eine Erweiterung des Modells schema.org für die Gesetzgebung </w:t>
      </w:r>
      <w:hyperlink r:id="rId6" w:tgtFrame="_blank" w:history="1">
        <w:r w:rsidRPr="00D533DD">
          <w:rPr>
            <w:rFonts w:ascii="Hind" w:eastAsia="Times New Roman" w:hAnsi="Hind" w:cs="Hind"/>
            <w:color w:val="4A90E2"/>
            <w:kern w:val="0"/>
            <w:u w:val="single"/>
            <w:bdr w:val="single" w:sz="2" w:space="0" w:color="E5E7EB" w:frame="1"/>
            <w:lang w:eastAsia="en-GB"/>
            <w14:ligatures w14:val="none"/>
          </w:rPr>
          <w:t>https://schema.org/Legislation</w:t>
        </w:r>
      </w:hyperlink>
      <w:r w:rsidRPr="00D533DD">
        <w:rPr>
          <w:rFonts w:ascii="Hind" w:eastAsia="Times New Roman" w:hAnsi="Hind" w:cs="Hind"/>
          <w:color w:val="1F2937"/>
          <w:kern w:val="0"/>
          <w:lang w:eastAsia="en-GB"/>
          <w14:ligatures w14:val="none"/>
        </w:rPr>
        <w:t>wurde von der Arbeitsgruppe ELI (Standard für die Beschreibung der Gesetzgebung für die Amtlichen Publikationen der europäischen Länder) vorgeschlagen. Die Annahme dieser Erweiterung ist noch ausstehend.</w:t>
      </w:r>
    </w:p>
    <w:p w14:paraId="546FF33A" w14:textId="77777777" w:rsidR="00D533DD" w:rsidRPr="00D533DD" w:rsidRDefault="00D533DD" w:rsidP="00D53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Die in die Webseiten einer Website eingefügten schema.org-Metadaten werden anhand eines Tools zur Analyse der strukturierten Daten in den Webseiten sichtbar gemacht, zum Beispiel: </w:t>
      </w:r>
      <w:hyperlink r:id="rId7" w:tgtFrame="_blank" w:history="1">
        <w:r w:rsidRPr="00D533DD">
          <w:rPr>
            <w:rFonts w:ascii="Hind" w:eastAsia="Times New Roman" w:hAnsi="Hind" w:cs="Hind"/>
            <w:color w:val="4A90E2"/>
            <w:kern w:val="0"/>
            <w:u w:val="single"/>
            <w:bdr w:val="single" w:sz="2" w:space="0" w:color="E5E7EB" w:frame="1"/>
            <w:lang w:eastAsia="en-GB"/>
            <w14:ligatures w14:val="none"/>
          </w:rPr>
          <w:t>https://search.google.com/structured-data/testing-tool</w:t>
        </w:r>
      </w:hyperlink>
      <w:r w:rsidRPr="00D533DD">
        <w:rPr>
          <w:rFonts w:ascii="Hind" w:eastAsia="Times New Roman" w:hAnsi="Hind" w:cs="Hind"/>
          <w:color w:val="1F2937"/>
          <w:kern w:val="0"/>
          <w:lang w:eastAsia="en-GB"/>
          <w14:ligatures w14:val="none"/>
        </w:rPr>
        <w:t>.</w:t>
      </w:r>
    </w:p>
    <w:p w14:paraId="65D2D3DB" w14:textId="77777777" w:rsidR="00D533DD" w:rsidRPr="00D533DD" w:rsidRDefault="00D533DD" w:rsidP="00D533DD">
      <w:pPr>
        <w:spacing w:after="0" w:line="450" w:lineRule="atLeast"/>
        <w:rPr>
          <w:rFonts w:ascii="Hind" w:eastAsia="Times New Roman" w:hAnsi="Hind" w:cs="Hind"/>
          <w:b/>
          <w:bCs/>
          <w:color w:val="1F2937"/>
          <w:kern w:val="0"/>
          <w:lang w:eastAsia="en-GB"/>
          <w14:ligatures w14:val="none"/>
        </w:rPr>
      </w:pPr>
      <w:r w:rsidRPr="00D533DD">
        <w:rPr>
          <w:rFonts w:ascii="Hind" w:eastAsia="Times New Roman" w:hAnsi="Hind" w:cs="Hind"/>
          <w:b/>
          <w:bCs/>
          <w:color w:val="1F2937"/>
          <w:kern w:val="0"/>
          <w:lang w:eastAsia="en-GB"/>
          <w14:ligatures w14:val="none"/>
        </w:rPr>
        <w:t>Wie können die Texte, die Metadaten und der Wissensgraph der Gesetzgebung des Bundes abgefragt werden?</w:t>
      </w:r>
    </w:p>
    <w:p w14:paraId="641665F4" w14:textId="77777777" w:rsidR="00D533DD" w:rsidRPr="00D533DD" w:rsidRDefault="00D533DD" w:rsidP="00D533DD">
      <w:pPr>
        <w:pBdr>
          <w:top w:val="single" w:sz="2" w:space="0" w:color="E5E7EB"/>
          <w:left w:val="single" w:sz="2" w:space="0" w:color="E5E7EB"/>
          <w:bottom w:val="single" w:sz="2" w:space="0" w:color="E5E7EB"/>
          <w:right w:val="single" w:sz="2" w:space="0" w:color="E5E7EB"/>
        </w:pBdr>
        <w:spacing w:after="0"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Für die Abfrage und die Wiederverwendung der Erlasse des Bundesrechts, deren Metadaten, aber auch des Wissensgraphen der Schweizer Gesetzgebung stehen mehrere Mechanismen zur Verfügung. Der Wissensgraph der Schweizer Gesetzgebung enthält das Inventar der Texte sowie die Gesamtheit der Links der juristischen Analyse und der Einschliessung der Texte in die konsolidierten Fassungen.</w:t>
      </w:r>
    </w:p>
    <w:p w14:paraId="4A5222F9" w14:textId="77777777" w:rsidR="00D533DD" w:rsidRPr="00D533DD" w:rsidRDefault="00D533DD" w:rsidP="00D533DD">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Jeder der verschiedenen Abfragemechanismen eignet sich für eine bestimmte Verwendungssituation:</w:t>
      </w:r>
    </w:p>
    <w:p w14:paraId="4C14826C" w14:textId="77777777" w:rsidR="00D533DD" w:rsidRPr="00D533DD" w:rsidRDefault="00D533DD" w:rsidP="00D533DD">
      <w:pPr>
        <w:numPr>
          <w:ilvl w:val="0"/>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Über eine Webseite der Website fedlex.admin.ch kann man:</w:t>
      </w:r>
    </w:p>
    <w:p w14:paraId="49DC4C84"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die nach dem Modell JOLux erstellten Metadaten eines Texts im Format RDF abfragen;</w:t>
      </w:r>
    </w:p>
    <w:p w14:paraId="23703148"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die juristischen Texte in den Formaten DOCX, PDF und HTML abfragen.</w:t>
      </w:r>
    </w:p>
    <w:p w14:paraId="221F5C04" w14:textId="77777777" w:rsidR="00D533DD" w:rsidRPr="00D533DD" w:rsidRDefault="00D533DD" w:rsidP="00D533DD">
      <w:pPr>
        <w:numPr>
          <w:ilvl w:val="0"/>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lastRenderedPageBreak/>
        <w:t>Über den SPARQL-Endpoint von Casemates kann der Wissensgraph des Bundesrechts abgefragt werden. Die Ergebnisse der Suche werden in den Formaten CSV, JSON, HTML oder RDF verfügbar sein. Die Abfragesprache ist SPARQL, Standardsprache für die Abfrage von Wissensgraphen.</w:t>
      </w:r>
    </w:p>
    <w:p w14:paraId="2819DC86" w14:textId="77777777" w:rsidR="00D533DD" w:rsidRPr="00D533DD" w:rsidRDefault="00D533DD" w:rsidP="00D533DD">
      <w:pPr>
        <w:numPr>
          <w:ilvl w:val="0"/>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Abfrage über die in den Webseiten integrierten ELI-Metadaten: Die ELI-Metadaten im Format JSON, die in den Webseiten integriert sind, können gelesen und abgefragt werden. Die ELI-Metadaten haben den Vorteil, dass sie für ganz Europa standardisiert sind. Dank ihnen verfügen die Nutzerinnen und Nutzer über eine einheitliche Sicht auf die Gesetzgebung der verschiedenen Staaten und der EU. Die Verbreitung ist im Gange.</w:t>
      </w:r>
    </w:p>
    <w:p w14:paraId="032DB6B5" w14:textId="77777777" w:rsidR="00D533DD" w:rsidRPr="00D533DD" w:rsidRDefault="00D533DD" w:rsidP="00D533DD">
      <w:pPr>
        <w:numPr>
          <w:ilvl w:val="0"/>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Abfrage über die URIs der Ressourcen: Die URIs der Ressourcen des Wissensgraphen können anhand eines Content-Negotiation-Mechanismus dereferenziert werden, um auf die Texte in den verschiedenen Formaten (DOCX, PDF, HTML) oder auf die nach dem Modell JOLux erstellten Metadaten zugreifen zu können.</w:t>
      </w:r>
    </w:p>
    <w:p w14:paraId="0BC6EFCF" w14:textId="77777777" w:rsidR="00D533DD" w:rsidRPr="00D533DD" w:rsidRDefault="00D533DD" w:rsidP="00D533DD">
      <w:pPr>
        <w:pBdr>
          <w:top w:val="single" w:sz="2" w:space="0" w:color="E5E7EB"/>
          <w:left w:val="single" w:sz="2" w:space="30" w:color="E5E7EB"/>
          <w:bottom w:val="single" w:sz="2" w:space="0" w:color="E5E7EB"/>
          <w:right w:val="single" w:sz="2" w:space="0" w:color="E5E7EB"/>
        </w:pBdr>
        <w:spacing w:after="0" w:line="240" w:lineRule="auto"/>
        <w:ind w:left="720"/>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Die Content Negotiation geschieht über die Kopfzeile «Accept» der HTTP-Suche, die die folgenden Werte haben kann:</w:t>
      </w:r>
    </w:p>
    <w:p w14:paraId="69EA9890"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text/html</w:t>
      </w:r>
    </w:p>
    <w:p w14:paraId="67EBBE44"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application/xml</w:t>
      </w:r>
    </w:p>
    <w:p w14:paraId="59EF322F"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application/pdf</w:t>
      </w:r>
    </w:p>
    <w:p w14:paraId="48651C1A"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application/rdf+xml (oder application/rdf+xml;ontology=jolux)</w:t>
      </w:r>
    </w:p>
    <w:p w14:paraId="69F3E1EB"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text/turtle (oder text/turtle;ontology=jolux)</w:t>
      </w:r>
    </w:p>
    <w:p w14:paraId="4C2ED15B"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application/rdf+xml;ontology=eli</w:t>
      </w:r>
    </w:p>
    <w:p w14:paraId="3B2279DC" w14:textId="77777777" w:rsidR="00D533DD" w:rsidRPr="00D533DD" w:rsidRDefault="00D533DD" w:rsidP="00D533DD">
      <w:pPr>
        <w:numPr>
          <w:ilvl w:val="1"/>
          <w:numId w:val="1"/>
        </w:numPr>
        <w:pBdr>
          <w:top w:val="single" w:sz="2" w:space="0" w:color="E5E7EB"/>
          <w:left w:val="single" w:sz="2" w:space="30" w:color="E5E7EB"/>
          <w:bottom w:val="single" w:sz="2" w:space="0" w:color="E5E7EB"/>
          <w:right w:val="single" w:sz="2" w:space="0" w:color="E5E7EB"/>
        </w:pBdr>
        <w:spacing w:before="100" w:beforeAutospacing="1" w:after="100" w:afterAutospacing="1" w:line="240" w:lineRule="auto"/>
        <w:rPr>
          <w:rFonts w:ascii="Hind" w:eastAsia="Times New Roman" w:hAnsi="Hind" w:cs="Hind"/>
          <w:color w:val="1F2937"/>
          <w:kern w:val="0"/>
          <w:lang w:eastAsia="en-GB"/>
          <w14:ligatures w14:val="none"/>
        </w:rPr>
      </w:pPr>
      <w:r w:rsidRPr="00D533DD">
        <w:rPr>
          <w:rFonts w:ascii="Hind" w:eastAsia="Times New Roman" w:hAnsi="Hind" w:cs="Hind"/>
          <w:color w:val="1F2937"/>
          <w:kern w:val="0"/>
          <w:lang w:eastAsia="en-GB"/>
          <w14:ligatures w14:val="none"/>
        </w:rPr>
        <w:t>text/turtle;ontology=eli</w:t>
      </w:r>
    </w:p>
    <w:p w14:paraId="5A0B1C3B" w14:textId="77777777" w:rsidR="004B1C9D" w:rsidRDefault="004B1C9D"/>
    <w:sectPr w:rsidR="004B1C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Hind">
    <w:panose1 w:val="020000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E3C1A"/>
    <w:multiLevelType w:val="multilevel"/>
    <w:tmpl w:val="D3FC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10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3DD"/>
    <w:rsid w:val="00194C2F"/>
    <w:rsid w:val="004B1C9D"/>
    <w:rsid w:val="009D14E3"/>
    <w:rsid w:val="00A02D13"/>
    <w:rsid w:val="00D533DD"/>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09CCEB6E"/>
  <w15:chartTrackingRefBased/>
  <w15:docId w15:val="{18A95518-33F9-E045-A3C8-59CDB4251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3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3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3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3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3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3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3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3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3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3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3DD"/>
    <w:rPr>
      <w:rFonts w:eastAsiaTheme="majorEastAsia" w:cstheme="majorBidi"/>
      <w:color w:val="272727" w:themeColor="text1" w:themeTint="D8"/>
    </w:rPr>
  </w:style>
  <w:style w:type="paragraph" w:styleId="Title">
    <w:name w:val="Title"/>
    <w:basedOn w:val="Normal"/>
    <w:next w:val="Normal"/>
    <w:link w:val="TitleChar"/>
    <w:uiPriority w:val="10"/>
    <w:qFormat/>
    <w:rsid w:val="00D53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3DD"/>
    <w:pPr>
      <w:spacing w:before="160"/>
      <w:jc w:val="center"/>
    </w:pPr>
    <w:rPr>
      <w:i/>
      <w:iCs/>
      <w:color w:val="404040" w:themeColor="text1" w:themeTint="BF"/>
    </w:rPr>
  </w:style>
  <w:style w:type="character" w:customStyle="1" w:styleId="QuoteChar">
    <w:name w:val="Quote Char"/>
    <w:basedOn w:val="DefaultParagraphFont"/>
    <w:link w:val="Quote"/>
    <w:uiPriority w:val="29"/>
    <w:rsid w:val="00D533DD"/>
    <w:rPr>
      <w:i/>
      <w:iCs/>
      <w:color w:val="404040" w:themeColor="text1" w:themeTint="BF"/>
    </w:rPr>
  </w:style>
  <w:style w:type="paragraph" w:styleId="ListParagraph">
    <w:name w:val="List Paragraph"/>
    <w:basedOn w:val="Normal"/>
    <w:uiPriority w:val="34"/>
    <w:qFormat/>
    <w:rsid w:val="00D533DD"/>
    <w:pPr>
      <w:ind w:left="720"/>
      <w:contextualSpacing/>
    </w:pPr>
  </w:style>
  <w:style w:type="character" w:styleId="IntenseEmphasis">
    <w:name w:val="Intense Emphasis"/>
    <w:basedOn w:val="DefaultParagraphFont"/>
    <w:uiPriority w:val="21"/>
    <w:qFormat/>
    <w:rsid w:val="00D533DD"/>
    <w:rPr>
      <w:i/>
      <w:iCs/>
      <w:color w:val="0F4761" w:themeColor="accent1" w:themeShade="BF"/>
    </w:rPr>
  </w:style>
  <w:style w:type="paragraph" w:styleId="IntenseQuote">
    <w:name w:val="Intense Quote"/>
    <w:basedOn w:val="Normal"/>
    <w:next w:val="Normal"/>
    <w:link w:val="IntenseQuoteChar"/>
    <w:uiPriority w:val="30"/>
    <w:qFormat/>
    <w:rsid w:val="00D533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3DD"/>
    <w:rPr>
      <w:i/>
      <w:iCs/>
      <w:color w:val="0F4761" w:themeColor="accent1" w:themeShade="BF"/>
    </w:rPr>
  </w:style>
  <w:style w:type="character" w:styleId="IntenseReference">
    <w:name w:val="Intense Reference"/>
    <w:basedOn w:val="DefaultParagraphFont"/>
    <w:uiPriority w:val="32"/>
    <w:qFormat/>
    <w:rsid w:val="00D533DD"/>
    <w:rPr>
      <w:b/>
      <w:bCs/>
      <w:smallCaps/>
      <w:color w:val="0F4761" w:themeColor="accent1" w:themeShade="BF"/>
      <w:spacing w:val="5"/>
    </w:rPr>
  </w:style>
  <w:style w:type="paragraph" w:styleId="NormalWeb">
    <w:name w:val="Normal (Web)"/>
    <w:basedOn w:val="Normal"/>
    <w:uiPriority w:val="99"/>
    <w:semiHidden/>
    <w:unhideWhenUsed/>
    <w:rsid w:val="00D533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D533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earch.google.com/structured-data/testing-too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hema.org/Legislation" TargetMode="External"/><Relationship Id="rId5" Type="http://schemas.openxmlformats.org/officeDocument/2006/relationships/hyperlink" Target="http://schema.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514</Words>
  <Characters>2931</Characters>
  <Application>Microsoft Office Word</Application>
  <DocSecurity>0</DocSecurity>
  <Lines>24</Lines>
  <Paragraphs>6</Paragraphs>
  <ScaleCrop>false</ScaleCrop>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Gajdos</dc:creator>
  <cp:keywords/>
  <dc:description/>
  <cp:lastModifiedBy>Martin Gajdos</cp:lastModifiedBy>
  <cp:revision>1</cp:revision>
  <dcterms:created xsi:type="dcterms:W3CDTF">2025-12-11T11:42:00Z</dcterms:created>
  <dcterms:modified xsi:type="dcterms:W3CDTF">2025-12-11T11:43:00Z</dcterms:modified>
</cp:coreProperties>
</file>