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The classification is mandatory: every group carries a</w:t>
      </w:r>
      <w:r>
        <w:rPr>
          <w:i/>
          <w:iCs/>
        </w:rPr>
        <w:t xml:space="preserve"> </w:t>
      </w:r>
      <w:r>
        <w:rPr>
          <w:rStyle w:val="VerbatimChar"/>
          <w:i/>
          <w:iCs/>
        </w:rPr>
        <w:t xml:space="preserve">group_type</w:t>
      </w:r>
      <w:r>
        <w:rPr>
          <w:i/>
          <w:iCs/>
        </w:rPr>
        <w:t xml:space="preserve">.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2026-08-08T21:15:05Z</dcterms:created>
  <dcterms:modified xsi:type="dcterms:W3CDTF">2026-08-08T21:15:05Z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