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Technical Unit</w:t>
            </w:r>
          </w:p>
        </w:tc>
        <w:tc>
          <w:tcPr/>
          <w:p>
            <w:pPr>
              <w:pStyle w:val="Compact"/>
            </w:pPr>
            <w:r>
              <w:t xml:space="preserve">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abstract"/>
    <w:p>
      <w:pPr>
        <w:pStyle w:val="Nebentitel"/>
      </w:pPr>
      <w:r>
        <w:t xml:space="preserve">Abstract</w:t>
      </w:r>
    </w:p>
    <w:bookmarkEnd w:id="21"/>
    <w:p>
      <w:pPr>
        <w:pStyle w:val="Textkrper"/>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Start w:id="22" w:name="table-of-contents"/>
    <w:p>
      <w:pPr>
        <w:pStyle w:val="Nebentitel"/>
      </w:pPr>
      <w:r>
        <w:t xml:space="preserve">Table of Contents</w:t>
      </w:r>
    </w:p>
    <w:bookmarkEnd w:id="22"/>
    <w:p>
      <w:r>
        <w:fldChar w:fldCharType="begin" w:dirty="true"/>
      </w:r>
      <w:r>
        <w:instrText xml:space="preserve"> TOC \o "1-2" \h \z \u </w:instrText>
      </w:r>
      <w:r>
        <w:fldChar w:fldCharType="separate"/>
      </w:r>
      <w:r>
        <w:t>Right-click &gt; "Update field" to generate the table of contents.</w:t>
      </w:r>
      <w:r>
        <w:fldChar w:fldCharType="end"/>
      </w:r>
    </w:p>
    <w:bookmarkStart w:id="23" w:name="note"/>
    <w:p>
      <w:pPr>
        <w:pStyle w:val="Nebentitel"/>
      </w:pPr>
      <w:r>
        <w:t xml:space="preserve">Note</w:t>
      </w:r>
    </w:p>
    <w:bookmarkEnd w:id="23"/>
    <w:p>
      <w:pPr>
        <w:pStyle w:val="Textkrper"/>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p>
      <w:r>
        <w:br w:type="page"/>
      </w:r>
    </w:p>
    <w:bookmarkStart w:id="29" w:name="introduction"/>
    <w:p>
      <w:pPr>
        <w:pStyle w:val="berschrift1"/>
      </w:pPr>
      <w:r>
        <w:t xml:space="preserve">Introduction</w:t>
      </w:r>
    </w:p>
    <w:bookmarkStart w:id="24" w:name="status"/>
    <w:p>
      <w:pPr>
        <w:pStyle w:val="berschrift2"/>
      </w:pPr>
      <w:r>
        <w:t xml:space="preserve">Status</w:t>
      </w:r>
    </w:p>
    <w:p>
      <w:pPr>
        <w:pStyle w:val="FirstParagraph"/>
      </w:pPr>
      <w:r>
        <w:t xml:space="preserve">Proposal</w:t>
      </w:r>
    </w:p>
    <w:bookmarkEnd w:id="24"/>
    <w:bookmarkStart w:id="25" w:name="scope-of-application"/>
    <w:p>
      <w:pPr>
        <w:pStyle w:val="berschrift2"/>
      </w:pPr>
      <w:r>
        <w:t xml:space="preserve">Scope of application</w:t>
      </w:r>
    </w:p>
    <w:p>
      <w:pPr>
        <w:pStyle w:val="FirstParagraph"/>
      </w:pPr>
      <w:r>
        <w:t xml:space="preserve">The standard governs the publication of data on political actors by the bodies that already keep this data today: parliamentary services, state chancelleries and municipal administrations at all levels of government. It covers in particular the following use cases:</w:t>
      </w:r>
    </w:p>
    <w:p>
      <w:pPr>
        <w:pStyle w:val="Compact"/>
        <w:numPr>
          <w:ilvl w:val="0"/>
          <w:numId w:val="1001"/>
        </w:numPr>
      </w:pPr>
      <w:r>
        <w:t xml:space="preserve">publication of the members of parliaments, governments and committees with their memberships, functions and terms of office</w:t>
      </w:r>
    </w:p>
    <w:p>
      <w:pPr>
        <w:pStyle w:val="Compact"/>
        <w:numPr>
          <w:ilvl w:val="0"/>
          <w:numId w:val="1001"/>
        </w:numPr>
      </w:pPr>
      <w:r>
        <w:t xml:space="preserve">publication of the registers of interests of members of parliament</w:t>
      </w:r>
    </w:p>
    <w:p>
      <w:pPr>
        <w:pStyle w:val="Compact"/>
        <w:numPr>
          <w:ilvl w:val="0"/>
          <w:numId w:val="1001"/>
        </w:numPr>
      </w:pPr>
      <w:r>
        <w:t xml:space="preserve">referencing persons, groups and bodies from the other standards of the</w:t>
      </w:r>
      <w:r>
        <w:t xml:space="preserve"> </w:t>
      </w:r>
      <w:r>
        <w:t xml:space="preserve">“Political Affairs”</w:t>
      </w:r>
      <w:r>
        <w:t xml:space="preserve"> </w:t>
      </w:r>
      <w:r>
        <w:t xml:space="preserve">family, for instance for speeches and votes in parliamentary operations (eCH-0293) or for the authorship of parliamentary affairs (eCH-0295)</w:t>
      </w:r>
    </w:p>
    <w:p>
      <w:pPr>
        <w:pStyle w:val="Compact"/>
        <w:numPr>
          <w:ilvl w:val="0"/>
          <w:numId w:val="1001"/>
        </w:numPr>
      </w:pPr>
      <w:r>
        <w:t xml:space="preserve">reuse of this data by the media, research and the public, comparable across levels of government</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2"/>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2"/>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2"/>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2"/>
        </w:numPr>
      </w:pPr>
      <w:r>
        <w:rPr>
          <w:b/>
          <w:bCs/>
        </w:rPr>
        <w:t xml:space="preserve">eCH-0295 – Parliamentary Affairs (Affairs):</w:t>
      </w:r>
      <w:r>
        <w:t xml:space="preserve"> </w:t>
      </w:r>
      <w:r>
        <w:t xml:space="preserve">Describes the life cycle of political affairs.</w:t>
      </w:r>
    </w:p>
    <w:p>
      <w:pPr>
        <w:pStyle w:val="Compact"/>
        <w:numPr>
          <w:ilvl w:val="0"/>
          <w:numId w:val="1002"/>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2"/>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3"/>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3"/>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4"/>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4"/>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7"/>
    <w:bookmarkStart w:id="28"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5"/>
        </w:numPr>
      </w:pPr>
      <w:r>
        <w:rPr>
          <w:b/>
          <w:bCs/>
        </w:rPr>
        <w:t xml:space="preserve">Person</w:t>
      </w:r>
      <w:r>
        <w:t xml:space="preserve"> </w:t>
      </w:r>
      <w:r>
        <w:t xml:space="preserve">– Natural persons in the political context</w:t>
      </w:r>
    </w:p>
    <w:p>
      <w:pPr>
        <w:pStyle w:val="Compact"/>
        <w:numPr>
          <w:ilvl w:val="0"/>
          <w:numId w:val="1005"/>
        </w:numPr>
      </w:pPr>
      <w:r>
        <w:rPr>
          <w:b/>
          <w:bCs/>
        </w:rPr>
        <w:t xml:space="preserve">Group</w:t>
      </w:r>
      <w:r>
        <w:t xml:space="preserve"> </w:t>
      </w:r>
      <w:r>
        <w:t xml:space="preserve">– Committees, parties, parliamentary groups, councils, commissions, organisations, etc.</w:t>
      </w:r>
    </w:p>
    <w:p>
      <w:pPr>
        <w:pStyle w:val="Compact"/>
        <w:numPr>
          <w:ilvl w:val="0"/>
          <w:numId w:val="1005"/>
        </w:numPr>
      </w:pPr>
      <w:r>
        <w:rPr>
          <w:b/>
          <w:bCs/>
        </w:rPr>
        <w:t xml:space="preserve">Membership</w:t>
      </w:r>
      <w:r>
        <w:t xml:space="preserve"> </w:t>
      </w:r>
      <w:r>
        <w:t xml:space="preserve">– Link between persons and groups</w:t>
      </w:r>
    </w:p>
    <w:p>
      <w:pPr>
        <w:pStyle w:val="Compact"/>
        <w:numPr>
          <w:ilvl w:val="0"/>
          <w:numId w:val="1005"/>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8"/>
    <w:bookmarkEnd w:id="29"/>
    <w:bookmarkStart w:id="13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6"/>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6"/>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6"/>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30">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31">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6"/>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6"/>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6"/>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6"/>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42" w:name="class-person"/>
    <w:p>
      <w:pPr>
        <w:pStyle w:val="berschrift2"/>
      </w:pPr>
      <w:r>
        <w:t xml:space="preserve">Class: Person</w:t>
      </w:r>
      <w:r>
        <w:t xml:space="preserve"> </w:t>
      </w:r>
      <w:bookmarkStart w:id="32" w:name="Person"/>
      <w:bookmarkEnd w:id="32"/>
    </w:p>
    <w:p>
      <w:pPr>
        <w:pStyle w:val="FirstParagraph"/>
      </w:pPr>
      <w:r>
        <w:rPr>
          <w:i/>
          <w:iCs/>
        </w:rPr>
        <w:t xml:space="preserve">A person with identifiers, names, addresses, citizenships, and occupations.</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p>
      <w:pPr>
        <w:pStyle w:val="Beschriftung"/>
      </w:pPr>
      <w:r>
        <w:t xml:space="preserve">Table</w:t>
      </w:r>
      <w:r>
        <w:t xml:space="preserve"> </w:t>
      </w:r>
      <w:fldSimple w:instr=" SEQ Table \* ARABIC ">
        <w:r>
          <w:t>1</w:t>
        </w:r>
      </w:fldSimple>
      <w:r>
        <w:t xml:space="preserve">: Person – Attribute</w:t>
      </w:r>
    </w:p>
    <w:bookmarkEnd w:id="33"/>
    <w:bookmarkStart w:id="34"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w:t>
      </w:r>
      <w:r>
        <w:t xml:space="preserve"> </w:t>
      </w:r>
      <w:fldSimple w:instr=" SEQ Table \* ARABIC ">
        <w:r>
          <w:t>1</w:t>
        </w:r>
      </w:fldSimple>
      <w:r>
        <w:t xml:space="preserve">: Person – Usages</w:t>
      </w:r>
    </w:p>
    <w:bookmarkEnd w:id="34"/>
    <w:bookmarkStart w:id="41" w:name="examples"/>
    <w:p>
      <w:pPr>
        <w:pStyle w:val="berschrift3"/>
      </w:pPr>
      <w:r>
        <w:t xml:space="preserve">Examples</w:t>
      </w:r>
    </w:p>
    <w:bookmarkStart w:id="35"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name"/>
    <w:p>
      <w:pPr>
        <w:pStyle w:val="berschrift2"/>
      </w:pPr>
      <w:r>
        <w:t xml:space="preserve">Class: Name</w:t>
      </w:r>
      <w:r>
        <w:t xml:space="preserve"> </w:t>
      </w:r>
      <w:bookmarkStart w:id="43" w:name="Name"/>
      <w:bookmarkEnd w:id="43"/>
    </w:p>
    <w:p>
      <w:pPr>
        <w:pStyle w:val="FirstParagraph"/>
      </w:pPr>
      <w:r>
        <w:rPr>
          <w:i/>
          <w:iCs/>
        </w:rPr>
        <w:t xml:space="preserve">A name with a type (e.g., call name, official name), a value, and a temporal validity.</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Name – Attribute</w:t>
      </w:r>
    </w:p>
    <w:bookmarkEnd w:id="44"/>
    <w:bookmarkStart w:id="45"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w:t>
      </w:r>
      <w:r>
        <w:t xml:space="preserve"> </w:t>
      </w:r>
      <w:fldSimple w:instr=" SEQ Table \* ARABIC ">
        <w:r>
          <w:t>1</w:t>
        </w:r>
      </w:fldSimple>
      <w:r>
        <w:t xml:space="preserve">: Name – Usages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8">
        <w:r>
          <w:rPr>
            <w:rStyle w:val="Hyperlink"/>
          </w:rPr>
          <w:t xml:space="preserve">act:NameTypeEnum</w:t>
        </w:r>
      </w:hyperlink>
    </w:p>
    <w:bookmarkStart w:id="60"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w:t>
      </w:r>
      <w:r>
        <w:t xml:space="preserve"> </w:t>
      </w:r>
      <w:fldSimple w:instr=" SEQ Table \* ARABIC ">
        <w:r>
          <w:t>1</w:t>
        </w:r>
      </w:fldSimple>
      <w:r>
        <w:t xml:space="preserve">: NameTypeEnum – Permissible Values</w:t>
      </w:r>
    </w:p>
    <w:bookmarkEnd w:id="60"/>
    <w:bookmarkEnd w:id="61"/>
    <w:bookmarkStart w:id="65" w:name="class-languageproficiency"/>
    <w:p>
      <w:pPr>
        <w:pStyle w:val="berschrift2"/>
      </w:pPr>
      <w:r>
        <w:t xml:space="preserve">Class: LanguageProficiency</w:t>
      </w:r>
      <w:r>
        <w:t xml:space="preserve"> </w:t>
      </w:r>
      <w:bookmarkStart w:id="62" w:name="LanguageProficiency"/>
      <w:bookmarkEnd w:id="62"/>
    </w:p>
    <w:p>
      <w:pPr>
        <w:pStyle w:val="FirstParagraph"/>
      </w:pPr>
      <w:r>
        <w:rPr>
          <w:i/>
          <w:iCs/>
        </w:rPr>
        <w:t xml:space="preserve">Language proficiency of a person indicating the language and whether it is the preferred language or native language.</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p>
      <w:pPr>
        <w:pStyle w:val="Beschriftung"/>
      </w:pPr>
      <w:r>
        <w:t xml:space="preserve">Table</w:t>
      </w:r>
      <w:r>
        <w:t xml:space="preserve"> </w:t>
      </w:r>
      <w:fldSimple w:instr=" SEQ Table \* ARABIC ">
        <w:r>
          <w:t>1</w:t>
        </w:r>
      </w:fldSimple>
      <w:r>
        <w:t xml:space="preserve">: LanguageProficiency – Attribute</w:t>
      </w:r>
    </w:p>
    <w:bookmarkEnd w:id="63"/>
    <w:bookmarkStart w:id="6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w:t>
      </w:r>
      <w:r>
        <w:t xml:space="preserve"> </w:t>
      </w:r>
      <w:fldSimple w:instr=" SEQ Table \* ARABIC ">
        <w:r>
          <w:t>1</w:t>
        </w:r>
      </w:fldSimple>
      <w:r>
        <w:t xml:space="preserve">: LanguageProficiency – Usages</w:t>
      </w:r>
    </w:p>
    <w:bookmarkEnd w:id="64"/>
    <w:bookmarkEnd w:id="65"/>
    <w:bookmarkStart w:id="69" w:name="class-citizenship"/>
    <w:p>
      <w:pPr>
        <w:pStyle w:val="berschrift2"/>
      </w:pPr>
      <w:r>
        <w:t xml:space="preserve">Class: Citizenship</w:t>
      </w:r>
      <w:r>
        <w:t xml:space="preserve"> </w:t>
      </w:r>
      <w:bookmarkStart w:id="66" w:name="Citizenship"/>
      <w:bookmarkEnd w:id="66"/>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Citizenship – Attribute</w:t>
      </w:r>
    </w:p>
    <w:bookmarkEnd w:id="67"/>
    <w:bookmarkStart w:id="68"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w:t>
      </w:r>
      <w:r>
        <w:t xml:space="preserve"> </w:t>
      </w:r>
      <w:fldSimple w:instr=" SEQ Table \* ARABIC ">
        <w:r>
          <w:t>1</w:t>
        </w:r>
      </w:fldSimple>
      <w:r>
        <w:t xml:space="preserve">: Citizenship – Usages</w:t>
      </w:r>
    </w:p>
    <w:bookmarkEnd w:id="68"/>
    <w:bookmarkEnd w:id="69"/>
    <w:bookmarkStart w:id="73" w:name="class-gender"/>
    <w:p>
      <w:pPr>
        <w:pStyle w:val="berschrift2"/>
      </w:pPr>
      <w:r>
        <w:t xml:space="preserve">Class: Gender</w:t>
      </w:r>
      <w:r>
        <w:t xml:space="preserve"> </w:t>
      </w:r>
      <w:bookmarkStart w:id="70" w:name="Gender"/>
      <w:bookmarkEnd w:id="70"/>
    </w:p>
    <w:p>
      <w:pPr>
        <w:pStyle w:val="FirstParagraph"/>
      </w:pPr>
      <w:r>
        <w:rPr>
          <w:i/>
          <w:iCs/>
        </w:rPr>
        <w:t xml:space="preserve">Gender of a person indicating a gender code and temporal validity.</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Gender – Attribute</w:t>
      </w:r>
    </w:p>
    <w:bookmarkEnd w:id="71"/>
    <w:bookmarkStart w:id="72"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w:t>
      </w:r>
      <w:r>
        <w:t xml:space="preserve"> </w:t>
      </w:r>
      <w:fldSimple w:instr=" SEQ Table \* ARABIC ">
        <w:r>
          <w:t>1</w:t>
        </w:r>
      </w:fldSimple>
      <w:r>
        <w:t xml:space="preserve">: Gender – Usages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5">
        <w:r>
          <w:rPr>
            <w:rStyle w:val="Hyperlink"/>
          </w:rPr>
          <w:t xml:space="preserve">act:GenderCodeEnum</w:t>
        </w:r>
      </w:hyperlink>
    </w:p>
    <w:bookmarkStart w:id="7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p>
      <w:pPr>
        <w:pStyle w:val="Beschriftung"/>
      </w:pPr>
      <w:r>
        <w:t xml:space="preserve">Table</w:t>
      </w:r>
      <w:r>
        <w:t xml:space="preserve"> </w:t>
      </w:r>
      <w:fldSimple w:instr=" SEQ Table \* ARABIC ">
        <w:r>
          <w:t>1</w:t>
        </w:r>
      </w:fldSimple>
      <w:r>
        <w:t xml:space="preserve">: GenderCodeEnum – Permissible Values</w:t>
      </w:r>
    </w:p>
    <w:bookmarkEnd w:id="78"/>
    <w:bookmarkEnd w:id="79"/>
    <w:bookmarkStart w:id="87" w:name="class-occupation"/>
    <w:p>
      <w:pPr>
        <w:pStyle w:val="berschrift2"/>
      </w:pPr>
      <w:r>
        <w:t xml:space="preserve">Class: Occupation</w:t>
      </w:r>
      <w:r>
        <w:t xml:space="preserve"> </w:t>
      </w:r>
      <w:bookmarkStart w:id="80" w:name="Occupation"/>
      <w:bookmarkEnd w:id="80"/>
    </w:p>
    <w:p>
      <w:pPr>
        <w:pStyle w:val="FirstParagraph"/>
      </w:pPr>
      <w:r>
        <w:rPr>
          <w:i/>
          <w:iCs/>
        </w:rPr>
        <w:t xml:space="preserve">Occupation or profession of a person indicating a label, an ISCO-19 code, whether the activity is paid, and temporal validity.</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Occupation – Attribute</w:t>
      </w:r>
    </w:p>
    <w:bookmarkStart w:id="81" w:name="constraints"/>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w:t>
      </w:r>
      <w:r>
        <w:t xml:space="preserve"> </w:t>
      </w:r>
      <w:fldSimple w:instr=" SEQ Table \* ARABIC ">
        <w:r>
          <w:t>1</w:t>
        </w:r>
      </w:fldSimple>
      <w:r>
        <w:t xml:space="preserve">: Occupation – Usages</w:t>
      </w:r>
    </w:p>
    <w:bookmarkEnd w:id="83"/>
    <w:bookmarkStart w:id="86" w:name="examples-1"/>
    <w:p>
      <w:pPr>
        <w:pStyle w:val="berschrift3"/>
      </w:pPr>
      <w:r>
        <w:t xml:space="preserve">Examples</w:t>
      </w:r>
    </w:p>
    <w:bookmarkStart w:id="84"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training"/>
    <w:p>
      <w:pPr>
        <w:pStyle w:val="berschrift2"/>
      </w:pPr>
      <w:r>
        <w:t xml:space="preserve">Class: Training</w:t>
      </w:r>
      <w:r>
        <w:t xml:space="preserve"> </w:t>
      </w:r>
      <w:bookmarkStart w:id="88" w:name="Training"/>
      <w:bookmarkEnd w:id="88"/>
    </w:p>
    <w:p>
      <w:pPr>
        <w:pStyle w:val="FirstParagraph"/>
      </w:pPr>
      <w:r>
        <w:rPr>
          <w:i/>
          <w:iCs/>
        </w:rPr>
        <w:t xml:space="preserve">Training or education of a person indicating a type (e.g., school diploma, university degree, military service), a label, an ISCO-19 code, and temporal validity.</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Training – Attribute</w:t>
      </w:r>
    </w:p>
    <w:bookmarkStart w:id="89" w:name="constraints-1"/>
    <w:p>
      <w:pPr>
        <w:pStyle w:val="berschrift5"/>
      </w:pPr>
      <w:r>
        <w:t xml:space="preserve">Constraints</w:t>
      </w:r>
    </w:p>
    <w:p>
      <w:pPr>
        <w:pStyle w:val="FirstParagraph"/>
      </w:pPr>
      <w:r>
        <w:t xml:space="preserve">At least one of the following must be set:</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w:t>
      </w:r>
      <w:r>
        <w:t xml:space="preserve"> </w:t>
      </w:r>
      <w:fldSimple w:instr=" SEQ Table \* ARABIC ">
        <w:r>
          <w:t>1</w:t>
        </w:r>
      </w:fldSimple>
      <w:r>
        <w:t xml:space="preserve">: Training – Usages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4">
        <w:r>
          <w:rPr>
            <w:rStyle w:val="Hyperlink"/>
          </w:rPr>
          <w:t xml:space="preserve">act:TrainingTypeEnum</w:t>
        </w:r>
      </w:hyperlink>
    </w:p>
    <w:bookmarkStart w:id="137"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p>
      <w:pPr>
        <w:pStyle w:val="Beschriftung"/>
      </w:pPr>
      <w:r>
        <w:t xml:space="preserve">Table</w:t>
      </w:r>
      <w:r>
        <w:t xml:space="preserve"> </w:t>
      </w:r>
      <w:fldSimple w:instr=" SEQ Table \* ARABIC ">
        <w:r>
          <w:t>1</w:t>
        </w:r>
      </w:fldSimple>
      <w:r>
        <w:t xml:space="preserve">: TrainingTypeEnum – Permissible Values</w:t>
      </w:r>
    </w:p>
    <w:bookmarkEnd w:id="137"/>
    <w:p>
      <w:r>
        <w:br w:type="page"/>
      </w:r>
    </w:p>
    <w:bookmarkEnd w:id="138"/>
    <w:bookmarkEnd w:id="139"/>
    <w:bookmarkStart w:id="18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9"/>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9"/>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9"/>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4" w:name="class-group"/>
    <w:p>
      <w:pPr>
        <w:pStyle w:val="berschrift2"/>
      </w:pPr>
      <w:r>
        <w:t xml:space="preserve">Class: Group</w:t>
      </w:r>
      <w:r>
        <w:t xml:space="preserve"> </w:t>
      </w:r>
      <w:bookmarkStart w:id="140" w:name="Group"/>
      <w:bookmarkEnd w:id="140"/>
    </w:p>
    <w:p>
      <w:pPr>
        <w:pStyle w:val="FirstParagraph"/>
      </w:pPr>
      <w:r>
        <w:rPr>
          <w:i/>
          <w:iCs/>
        </w:rPr>
        <w:t xml:space="preserve">A political group, organization, or body (e.g., party, committee, parliament, department).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Group – Attribute</w:t>
      </w:r>
    </w:p>
    <w:bookmarkEnd w:id="141"/>
    <w:bookmarkStart w:id="142"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w:t>
      </w:r>
      <w:r>
        <w:t xml:space="preserve"> </w:t>
      </w:r>
      <w:fldSimple w:instr=" SEQ Table \* ARABIC ">
        <w:r>
          <w:t>1</w:t>
        </w:r>
      </w:fldSimple>
      <w:r>
        <w:t xml:space="preserve">: Group – Usages</w:t>
      </w:r>
    </w:p>
    <w:bookmarkEnd w:id="142"/>
    <w:bookmarkStart w:id="153" w:name="examples-2"/>
    <w:p>
      <w:pPr>
        <w:pStyle w:val="berschrift3"/>
      </w:pPr>
      <w:r>
        <w:t xml:space="preserve">Examples</w:t>
      </w:r>
    </w:p>
    <w:bookmarkStart w:id="14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class-grouptype"/>
    <w:p>
      <w:pPr>
        <w:pStyle w:val="berschrift2"/>
      </w:pPr>
      <w:r>
        <w:t xml:space="preserve">Class: GroupType</w:t>
      </w:r>
      <w:r>
        <w:t xml:space="preserve"> </w:t>
      </w:r>
      <w:bookmarkStart w:id="155" w:name="GroupType"/>
      <w:bookmarkEnd w:id="155"/>
    </w:p>
    <w:p>
      <w:pPr>
        <w:pStyle w:val="FirstParagraph"/>
      </w:pPr>
      <w:r>
        <w:rPr>
          <w:i/>
          <w:iCs/>
        </w:rPr>
        <w:t xml:space="preserve">Type of group (e.g., party, committee, parliament, department).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p>
      <w:pPr>
        <w:pStyle w:val="Beschriftung"/>
      </w:pPr>
      <w:r>
        <w:t xml:space="preserve">Table</w:t>
      </w:r>
      <w:r>
        <w:t xml:space="preserve"> </w:t>
      </w:r>
      <w:fldSimple w:instr=" SEQ Table \* ARABIC ">
        <w:r>
          <w:t>1</w:t>
        </w:r>
      </w:fldSimple>
      <w:r>
        <w:t xml:space="preserve">: GroupType – Attribute</w:t>
      </w:r>
    </w:p>
    <w:bookmarkEnd w:id="156"/>
    <w:bookmarkStart w:id="157"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w:t>
      </w:r>
      <w:r>
        <w:t xml:space="preserve"> </w:t>
      </w:r>
      <w:fldSimple w:instr=" SEQ Table \* ARABIC ">
        <w:r>
          <w:t>1</w:t>
        </w:r>
      </w:fldSimple>
      <w:r>
        <w:t xml:space="preserve">: GroupType – Usages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w:t>
      </w:r>
      <w:r>
        <w:t xml:space="preserve"> </w:t>
      </w:r>
      <w:fldSimple w:instr=" SEQ Table \* ARABIC ">
        <w:r>
          <w:t>1</w:t>
        </w:r>
      </w:fldSimple>
      <w:r>
        <w:t xml:space="preserve">: GroupTypeEnum – Permissible Values</w:t>
      </w:r>
    </w:p>
    <w:bookmarkEnd w:id="184"/>
    <w:p>
      <w:r>
        <w:br w:type="page"/>
      </w:r>
    </w:p>
    <w:bookmarkEnd w:id="185"/>
    <w:bookmarkEnd w:id="186"/>
    <w:bookmarkStart w:id="21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10"/>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10"/>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10"/>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10"/>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10"/>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9" w:name="class-membership"/>
    <w:p>
      <w:pPr>
        <w:pStyle w:val="berschrift2"/>
      </w:pPr>
      <w:r>
        <w:t xml:space="preserve">Class: Membership</w:t>
      </w:r>
      <w:r>
        <w:t xml:space="preserve"> </w:t>
      </w:r>
      <w:bookmarkStart w:id="187" w:name="Membership"/>
      <w:bookmarkEnd w:id="187"/>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Membership – Attribute</w:t>
      </w:r>
    </w:p>
    <w:bookmarkEnd w:id="188"/>
    <w:bookmarkStart w:id="189"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w:t>
      </w:r>
      <w:r>
        <w:t xml:space="preserve"> </w:t>
      </w:r>
      <w:fldSimple w:instr=" SEQ Table \* ARABIC ">
        <w:r>
          <w:t>1</w:t>
        </w:r>
      </w:fldSimple>
      <w:r>
        <w:t xml:space="preserve">: Membership – Usages</w:t>
      </w:r>
    </w:p>
    <w:bookmarkEnd w:id="189"/>
    <w:bookmarkStart w:id="198" w:name="examples-3"/>
    <w:p>
      <w:pPr>
        <w:pStyle w:val="berschrift3"/>
      </w:pPr>
      <w:r>
        <w:t xml:space="preserve">Examples</w:t>
      </w:r>
    </w:p>
    <w:bookmarkStart w:id="190"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roletype"/>
    <w:p>
      <w:pPr>
        <w:pStyle w:val="berschrift2"/>
      </w:pPr>
      <w:r>
        <w:t xml:space="preserve">Class: RoleType</w:t>
      </w:r>
      <w:r>
        <w:t xml:space="preserve"> </w:t>
      </w:r>
      <w:bookmarkStart w:id="200" w:name="RoleType"/>
      <w:bookmarkEnd w:id="200"/>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p>
      <w:pPr>
        <w:pStyle w:val="Beschriftung"/>
      </w:pPr>
      <w:r>
        <w:t xml:space="preserve">Table</w:t>
      </w:r>
      <w:r>
        <w:t xml:space="preserve"> </w:t>
      </w:r>
      <w:fldSimple w:instr=" SEQ Table \* ARABIC ">
        <w:r>
          <w:t>1</w:t>
        </w:r>
      </w:fldSimple>
      <w:r>
        <w:t xml:space="preserve">: RoleType – Attribute</w:t>
      </w:r>
    </w:p>
    <w:bookmarkStart w:id="201" w:name="constraints-2"/>
    <w:p>
      <w:pPr>
        <w:pStyle w:val="berschrift5"/>
      </w:pPr>
      <w:r>
        <w:t xml:space="preserve">Constraints</w:t>
      </w:r>
    </w:p>
    <w:p>
      <w:pPr>
        <w:pStyle w:val="FirstParagraph"/>
      </w:pPr>
      <w:r>
        <w:t xml:space="preserve">At least one of the following must be set:</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w:t>
      </w:r>
      <w:r>
        <w:t xml:space="preserve"> </w:t>
      </w:r>
      <w:fldSimple w:instr=" SEQ Table \* ARABIC ">
        <w:r>
          <w:t>1</w:t>
        </w:r>
      </w:fldSimple>
      <w:r>
        <w:t xml:space="preserve">: RoleType – Usages</w:t>
      </w:r>
    </w:p>
    <w:bookmarkStart w:id="203" w:name="rules"/>
    <w:p>
      <w:pPr>
        <w:pStyle w:val="berschrift5"/>
      </w:pPr>
      <w:r>
        <w:t xml:space="preserve">Rules</w:t>
      </w:r>
    </w:p>
    <w:p>
      <w:pPr>
        <w:pStyle w:val="Compact"/>
        <w:numPr>
          <w:ilvl w:val="0"/>
          <w:numId w:val="1012"/>
        </w:numPr>
      </w:pPr>
      <w:r>
        <w:t xml:space="preserve">If the role type is</w:t>
      </w:r>
      <w:r>
        <w:t xml:space="preserve"> </w:t>
      </w:r>
      <w:r>
        <w:t xml:space="preserve">‘other’</w:t>
      </w:r>
      <w:r>
        <w:t xml:space="preserve">, a descriptive label must be provided.</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Roles a person can have within a membership.</w:t>
      </w:r>
    </w:p>
    <w:p>
      <w:pPr>
        <w:pStyle w:val="Textkrper"/>
      </w:pPr>
      <w:r>
        <w:t xml:space="preserve">URI:</w:t>
      </w:r>
      <w:r>
        <w:t xml:space="preserve"> </w:t>
      </w:r>
      <w:hyperlink ns1:id="rId207">
        <w:r>
          <w:rPr>
            <w:rStyle w:val="Hyperlink"/>
          </w:rPr>
          <w:t xml:space="preserve">act:RoleEnum</w:t>
        </w:r>
      </w:hyperlink>
    </w:p>
    <w:bookmarkStart w:id="208"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p>
      <w:pPr>
        <w:pStyle w:val="Beschriftung"/>
      </w:pPr>
      <w:r>
        <w:t xml:space="preserve">Table</w:t>
      </w:r>
      <w:r>
        <w:t xml:space="preserve"> </w:t>
      </w:r>
      <w:fldSimple w:instr=" SEQ Table \* ARABIC ">
        <w:r>
          <w:t>1</w:t>
        </w:r>
      </w:fldSimple>
      <w:r>
        <w:t xml:space="preserve">: RoleEnum – Permissible Values</w:t>
      </w:r>
    </w:p>
    <w:bookmarkEnd w:id="208"/>
    <w:bookmarkEnd w:id="209"/>
    <w:bookmarkStart w:id="216" w:name="class-electoraldistrict"/>
    <w:p>
      <w:pPr>
        <w:pStyle w:val="berschrift2"/>
      </w:pPr>
      <w:r>
        <w:t xml:space="preserve">Class: ElectoralDistrict</w:t>
      </w:r>
      <w:r>
        <w:t xml:space="preserve"> </w:t>
      </w:r>
      <w:bookmarkStart w:id="210" w:name="ElectoralDistrict"/>
      <w:bookmarkEnd w:id="210"/>
    </w:p>
    <w:p>
      <w:pPr>
        <w:pStyle w:val="FirstParagraph"/>
      </w:pPr>
      <w:r>
        <w:rPr>
          <w:i/>
          <w:iCs/>
        </w:rPr>
        <w:t xml:space="preserve">Electoral district or region associated with a membership. The temporal validity is inherited from the enclosing membership.</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p>
      <w:pPr>
        <w:pStyle w:val="Beschriftung"/>
      </w:pPr>
      <w:r>
        <w:t xml:space="preserve">Table</w:t>
      </w:r>
      <w:r>
        <w:t xml:space="preserve"> </w:t>
      </w:r>
      <w:fldSimple w:instr=" SEQ Table \* ARABIC ">
        <w:r>
          <w:t>1</w:t>
        </w:r>
      </w:fldSimple>
      <w:r>
        <w:t xml:space="preserve">: ElectoralDistrict – Attribute</w:t>
      </w:r>
    </w:p>
    <w:bookmarkEnd w:id="211"/>
    <w:bookmarkStart w:id="21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w:t>
      </w:r>
      <w:r>
        <w:t xml:space="preserve"> </w:t>
      </w:r>
      <w:fldSimple w:instr=" SEQ Table \* ARABIC ">
        <w:r>
          <w:t>1</w:t>
        </w:r>
      </w:fldSimple>
      <w:r>
        <w:t xml:space="preserve">: ElectoralDistrict – Usages</w:t>
      </w:r>
    </w:p>
    <w:bookmarkEnd w:id="212"/>
    <w:bookmarkStart w:id="215" w:name="examples-4"/>
    <w:p>
      <w:pPr>
        <w:pStyle w:val="berschrift3"/>
      </w:pPr>
      <w:r>
        <w:t xml:space="preserve">Examples</w:t>
      </w:r>
    </w:p>
    <w:bookmarkStart w:id="213"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8">
        <w:r>
          <w:rPr>
            <w:rStyle w:val="Hyperlink"/>
          </w:rPr>
          <w:t xml:space="preserve">Federal Assembly – Interest Links</w:t>
        </w:r>
      </w:hyperlink>
      <w:r>
        <w:t xml:space="preserve">.</w:t>
      </w:r>
    </w:p>
    <w:p>
      <w:pPr>
        <w:pStyle w:val="Compact"/>
        <w:numPr>
          <w:ilvl w:val="0"/>
          <w:numId w:val="1013"/>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3"/>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3"/>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3"/>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3"/>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3"/>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3"/>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3"/>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3"/>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3" w:name="class-interestlink"/>
    <w:p>
      <w:pPr>
        <w:pStyle w:val="berschrift2"/>
      </w:pPr>
      <w:r>
        <w:t xml:space="preserve">Class: InterestLink</w:t>
      </w:r>
      <w:r>
        <w:t xml:space="preserve"> </w:t>
      </w:r>
      <w:bookmarkStart w:id="219" w:name="InterestLink"/>
      <w:bookmarkEnd w:id="219"/>
    </w:p>
    <w:p>
      <w:pPr>
        <w:pStyle w:val="FirstParagraph"/>
      </w:pPr>
      <w:r>
        <w:rPr>
          <w:i/>
          <w:iCs/>
        </w:rPr>
        <w:t xml:space="preserve">An interest link (conflict of interest, political financing) of a person to an organization outside the actor schema.</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InterestLink – Attribute</w:t>
      </w:r>
    </w:p>
    <w:bookmarkStart w:id="220" w:name="constraints-3"/>
    <w:p>
      <w:pPr>
        <w:pStyle w:val="berschrift5"/>
      </w:pPr>
      <w:r>
        <w:t xml:space="preserve">Constraints</w:t>
      </w:r>
    </w:p>
    <w:p>
      <w:pPr>
        <w:pStyle w:val="FirstParagraph"/>
      </w:pPr>
      <w:r>
        <w:t xml:space="preserve">At least one of the following must be set:</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w:t>
      </w:r>
      <w:r>
        <w:t xml:space="preserve"> </w:t>
      </w:r>
      <w:fldSimple w:instr=" SEQ Table \* ARABIC ">
        <w:r>
          <w:t>1</w:t>
        </w:r>
      </w:fldSimple>
      <w:r>
        <w:t xml:space="preserve">: InterestLink – Usages</w:t>
      </w:r>
    </w:p>
    <w:bookmarkEnd w:id="222"/>
    <w:bookmarkStart w:id="232" w:name="examples-5"/>
    <w:p>
      <w:pPr>
        <w:pStyle w:val="berschrift3"/>
      </w:pPr>
      <w:r>
        <w:t xml:space="preserve">Examples</w:t>
      </w:r>
    </w:p>
    <w:bookmarkStart w:id="223"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of interest links (conflicts of interest, political financing).</w:t>
      </w:r>
    </w:p>
    <w:p>
      <w:pPr>
        <w:pStyle w:val="Textkrper"/>
      </w:pPr>
      <w:r>
        <w:t xml:space="preserve">URI:</w:t>
      </w:r>
      <w:r>
        <w:t xml:space="preserve"> </w:t>
      </w:r>
      <w:hyperlink ns1:id="rId235">
        <w:r>
          <w:rPr>
            <w:rStyle w:val="Hyperlink"/>
          </w:rPr>
          <w:t xml:space="preserve">act:InterestTypeEnum</w:t>
        </w:r>
      </w:hyperlink>
    </w:p>
    <w:bookmarkStart w:id="242"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w:t>
      </w:r>
      <w:r>
        <w:t xml:space="preserve"> </w:t>
      </w:r>
      <w:fldSimple w:instr=" SEQ Table \* ARABIC ">
        <w:r>
          <w:t>1</w:t>
        </w:r>
      </w:fldSimple>
      <w:r>
        <w:t xml:space="preserve">: InterestTypeEnum – Permissible Values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w:t>
      </w:r>
      <w:r>
        <w:t xml:space="preserve"> </w:t>
      </w:r>
      <w:fldSimple w:instr=" SEQ Table \* ARABIC ">
        <w:r>
          <w:t>1</w:t>
        </w:r>
      </w:fldSimple>
      <w:r>
        <w:t xml:space="preserve">: LegalFormEnum – Permissible Values</w:t>
      </w:r>
    </w:p>
    <w:bookmarkEnd w:id="284"/>
    <w:p>
      <w:r>
        <w:br w:type="page"/>
      </w:r>
    </w:p>
    <w:bookmarkEnd w:id="285"/>
    <w:bookmarkEnd w:id="286"/>
    <w:bookmarkStart w:id="334" w:name="shared-elements"/>
    <w:p>
      <w:pPr>
        <w:pStyle w:val="berschrift1"/>
      </w:pPr>
      <w:r>
        <w:t xml:space="preserve">Shared Elements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5"/>
        </w:numPr>
      </w:pPr>
      <w:r>
        <w:rPr>
          <w:b/>
          <w:bCs/>
        </w:rPr>
        <w:t xml:space="preserve">Useful local data</w:t>
      </w:r>
      <w:r>
        <w:t xml:space="preserve"> </w:t>
      </w:r>
      <w:r>
        <w:t xml:space="preserve">without costly queries of the complete entity</w:t>
      </w:r>
    </w:p>
    <w:p>
      <w:pPr>
        <w:pStyle w:val="Compact"/>
        <w:numPr>
          <w:ilvl w:val="0"/>
          <w:numId w:val="1015"/>
        </w:numPr>
      </w:pPr>
      <w:r>
        <w:rPr>
          <w:b/>
          <w:bCs/>
        </w:rPr>
        <w:t xml:space="preserve">No redundancy</w:t>
      </w:r>
      <w:r>
        <w:t xml:space="preserve">, since not all information has to be repeated at every mention</w:t>
      </w:r>
    </w:p>
    <w:p>
      <w:pPr>
        <w:pStyle w:val="Compact"/>
        <w:numPr>
          <w:ilvl w:val="0"/>
          <w:numId w:val="1015"/>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7"/>
    <w:bookmarkStart w:id="292" w:name="class-personreference"/>
    <w:p>
      <w:pPr>
        <w:pStyle w:val="berschrift2"/>
      </w:pPr>
      <w:r>
        <w:t xml:space="preserve">Class: PersonReference</w:t>
      </w:r>
      <w:r>
        <w:t xml:space="preserve"> </w:t>
      </w:r>
      <w:bookmarkStart w:id="288" w:name="PersonReference"/>
      <w:bookmarkEnd w:id="28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p>
      <w:pPr>
        <w:pStyle w:val="Beschriftung"/>
      </w:pPr>
      <w:r>
        <w:t xml:space="preserve">Table</w:t>
      </w:r>
      <w:r>
        <w:t xml:space="preserve"> </w:t>
      </w:r>
      <w:fldSimple w:instr=" SEQ Table \* ARABIC ">
        <w:r>
          <w:t>1</w:t>
        </w:r>
      </w:fldSimple>
      <w:r>
        <w:t xml:space="preserve">: PersonReference – Attribute</w:t>
      </w:r>
    </w:p>
    <w:bookmarkStart w:id="289" w:name="constraints-4"/>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w:t>
      </w:r>
      <w:r>
        <w:t xml:space="preserve"> </w:t>
      </w:r>
      <w:fldSimple w:instr=" SEQ Table \* ARABIC ">
        <w:r>
          <w:t>1</w:t>
        </w:r>
      </w:fldSimple>
      <w:r>
        <w:t xml:space="preserve">: PersonReference – Usages</w:t>
      </w:r>
    </w:p>
    <w:bookmarkEnd w:id="291"/>
    <w:bookmarkEnd w:id="292"/>
    <w:bookmarkStart w:id="297" w:name="class-groupreference"/>
    <w:p>
      <w:pPr>
        <w:pStyle w:val="berschrift2"/>
      </w:pPr>
      <w:r>
        <w:t xml:space="preserve">Class: GroupReference</w:t>
      </w:r>
      <w:r>
        <w:t xml:space="preserve"> </w:t>
      </w:r>
      <w:bookmarkStart w:id="293" w:name="GroupReference"/>
      <w:bookmarkEnd w:id="29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p>
      <w:pPr>
        <w:pStyle w:val="Beschriftung"/>
      </w:pPr>
      <w:r>
        <w:t xml:space="preserve">Table</w:t>
      </w:r>
      <w:r>
        <w:t xml:space="preserve"> </w:t>
      </w:r>
      <w:fldSimple w:instr=" SEQ Table \* ARABIC ">
        <w:r>
          <w:t>1</w:t>
        </w:r>
      </w:fldSimple>
      <w:r>
        <w:t xml:space="preserve">: GroupReference – Attribute</w:t>
      </w:r>
    </w:p>
    <w:bookmarkStart w:id="294" w:name="constraints-5"/>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w:t>
      </w:r>
      <w:r>
        <w:t xml:space="preserve"> </w:t>
      </w:r>
      <w:fldSimple w:instr=" SEQ Table \* ARABIC ">
        <w:r>
          <w:t>1</w:t>
        </w:r>
      </w:fldSimple>
      <w:r>
        <w:t xml:space="preserve">: GroupReference – Usages</w:t>
      </w:r>
    </w:p>
    <w:bookmarkEnd w:id="296"/>
    <w:bookmarkEnd w:id="297"/>
    <w:bookmarkStart w:id="300"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8">
        <w:r>
          <w:rPr>
            <w:rStyle w:val="Hyperlink"/>
          </w:rPr>
          <w:t xml:space="preserve">search API of geo.admin.ch</w:t>
        </w:r>
      </w:hyperlink>
      <w:r>
        <w:t xml:space="preserve"> </w:t>
      </w:r>
      <w:r>
        <w:t xml:space="preserve">or match against the</w:t>
      </w:r>
      <w:r>
        <w:t xml:space="preserve"> </w:t>
      </w:r>
      <w:hyperlink ns1:id="rId299">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300"/>
    <w:bookmarkStart w:id="308" w:name="class-address"/>
    <w:p>
      <w:pPr>
        <w:pStyle w:val="berschrift2"/>
      </w:pPr>
      <w:r>
        <w:t xml:space="preserve">Class: Address</w:t>
      </w:r>
      <w:r>
        <w:t xml:space="preserve"> </w:t>
      </w:r>
      <w:bookmarkStart w:id="301" w:name="Address"/>
      <w:bookmarkEnd w:id="301"/>
    </w:p>
    <w:p>
      <w:pPr>
        <w:pStyle w:val="FirstParagraph"/>
      </w:pPr>
      <w:r>
        <w:rPr>
          <w:i/>
          <w:iCs/>
        </w:rPr>
        <w:t xml:space="preserve">An address with a type (e.g., private address, business address) and a value.</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p>
      <w:pPr>
        <w:pStyle w:val="Beschriftung"/>
      </w:pPr>
      <w:r>
        <w:t xml:space="preserve">Table</w:t>
      </w:r>
      <w:r>
        <w:t xml:space="preserve"> </w:t>
      </w:r>
      <w:fldSimple w:instr=" SEQ Table \* ARABIC ">
        <w:r>
          <w:t>1</w:t>
        </w:r>
      </w:fldSimple>
      <w:r>
        <w:t xml:space="preserve">: Address – Attribute</w:t>
      </w:r>
    </w:p>
    <w:bookmarkStart w:id="302" w:name="constraints-6"/>
    <w:p>
      <w:pPr>
        <w:pStyle w:val="berschrift5"/>
      </w:pPr>
      <w:r>
        <w:t xml:space="preserve">Constraints</w:t>
      </w:r>
    </w:p>
    <w:p>
      <w:pPr>
        <w:pStyle w:val="FirstParagraph"/>
      </w:pPr>
      <w:r>
        <w:t xml:space="preserve">At least one of the following must be set:</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w:t>
      </w:r>
      <w:r>
        <w:t xml:space="preserve"> </w:t>
      </w:r>
      <w:fldSimple w:instr=" SEQ Table \* ARABIC ">
        <w:r>
          <w:t>1</w:t>
        </w:r>
      </w:fldSimple>
      <w:r>
        <w:t xml:space="preserve">: Address – Usages</w:t>
      </w:r>
    </w:p>
    <w:bookmarkEnd w:id="304"/>
    <w:bookmarkStart w:id="307" w:name="examples-6"/>
    <w:p>
      <w:pPr>
        <w:pStyle w:val="berschrift3"/>
      </w:pPr>
      <w:r>
        <w:t xml:space="preserve">Examples</w:t>
      </w:r>
    </w:p>
    <w:bookmarkStart w:id="305"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of addresses.</w:t>
      </w:r>
    </w:p>
    <w:p>
      <w:pPr>
        <w:pStyle w:val="Textkrper"/>
      </w:pPr>
      <w:r>
        <w:t xml:space="preserve">URI:</w:t>
      </w:r>
      <w:r>
        <w:t xml:space="preserve"> </w:t>
      </w:r>
      <w:hyperlink ns1:id="rId310">
        <w:r>
          <w:rPr>
            <w:rStyle w:val="Hyperlink"/>
          </w:rPr>
          <w:t xml:space="preserve">act:AddressTypeEnum</w:t>
        </w:r>
      </w:hyperlink>
    </w:p>
    <w:bookmarkStart w:id="311"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p>
      <w:pPr>
        <w:pStyle w:val="Beschriftung"/>
      </w:pPr>
      <w:r>
        <w:t xml:space="preserve">Table</w:t>
      </w:r>
      <w:r>
        <w:t xml:space="preserve"> </w:t>
      </w:r>
      <w:fldSimple w:instr=" SEQ Table \* ARABIC ">
        <w:r>
          <w:t>1</w:t>
        </w:r>
      </w:fldSimple>
      <w:r>
        <w:t xml:space="preserve">: AddressTypeEnum – Permissible Values</w:t>
      </w:r>
    </w:p>
    <w:bookmarkEnd w:id="311"/>
    <w:bookmarkEnd w:id="312"/>
    <w:bookmarkStart w:id="316" w:name="class-contact"/>
    <w:p>
      <w:pPr>
        <w:pStyle w:val="berschrift2"/>
      </w:pPr>
      <w:r>
        <w:t xml:space="preserve">Class: Contact</w:t>
      </w:r>
      <w:r>
        <w:t xml:space="preserve"> </w:t>
      </w:r>
      <w:bookmarkStart w:id="313" w:name="Contact"/>
      <w:bookmarkEnd w:id="313"/>
    </w:p>
    <w:p>
      <w:pPr>
        <w:pStyle w:val="FirstParagraph"/>
      </w:pPr>
      <w:r>
        <w:rPr>
          <w:i/>
          <w:iCs/>
        </w:rPr>
        <w:t xml:space="preserve">Contact information of a person indicating a type (e.g., email, LinkedIn) and a value.</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p>
      <w:pPr>
        <w:pStyle w:val="Beschriftung"/>
      </w:pPr>
      <w:r>
        <w:t xml:space="preserve">Table</w:t>
      </w:r>
      <w:r>
        <w:t xml:space="preserve"> </w:t>
      </w:r>
      <w:fldSimple w:instr=" SEQ Table \* ARABIC ">
        <w:r>
          <w:t>1</w:t>
        </w:r>
      </w:fldSimple>
      <w:r>
        <w:t xml:space="preserve">: Contact – Attribute</w:t>
      </w:r>
    </w:p>
    <w:bookmarkEnd w:id="314"/>
    <w:bookmarkStart w:id="315"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w:t>
      </w:r>
      <w:r>
        <w:t xml:space="preserve"> </w:t>
      </w:r>
      <w:fldSimple w:instr=" SEQ Table \* ARABIC ">
        <w:r>
          <w:t>1</w:t>
        </w:r>
      </w:fldSimple>
      <w:r>
        <w:t xml:space="preserve">: Contact – Usages</w:t>
      </w:r>
    </w:p>
    <w:bookmarkEnd w:id="315"/>
    <w:bookmarkEnd w:id="316"/>
    <w:bookmarkStart w:id="317"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7"/>
    <w:bookmarkStart w:id="321" w:name="class-hasidentification"/>
    <w:p>
      <w:pPr>
        <w:pStyle w:val="berschrift2"/>
      </w:pPr>
      <w:r>
        <w:t xml:space="preserve">Class: HasIdentification</w:t>
      </w:r>
      <w:r>
        <w:t xml:space="preserve"> </w:t>
      </w:r>
      <w:bookmarkStart w:id="318" w:name="HasIdentification"/>
      <w:bookmarkEnd w:id="318"/>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HasIdentification – Attribute</w:t>
      </w:r>
    </w:p>
    <w:bookmarkEnd w:id="319"/>
    <w:bookmarkStart w:id="320"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hasreferenceidentification"/>
    <w:p>
      <w:pPr>
        <w:pStyle w:val="berschrift2"/>
      </w:pPr>
      <w:r>
        <w:t xml:space="preserve">Class: HasReferenceIdentification</w:t>
      </w:r>
      <w:r>
        <w:t xml:space="preserve"> </w:t>
      </w:r>
      <w:bookmarkStart w:id="322" w:name="HasReferenceIdentification"/>
      <w:bookmarkEnd w:id="322"/>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HasReferenceIdentification – Attribute</w:t>
      </w:r>
    </w:p>
    <w:bookmarkEnd w:id="323"/>
    <w:bookmarkStart w:id="324"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hastemporalvalidity"/>
    <w:p>
      <w:pPr>
        <w:pStyle w:val="berschrift2"/>
      </w:pPr>
      <w:r>
        <w:t xml:space="preserve">Class: HasTemporalValidity</w:t>
      </w:r>
      <w:r>
        <w:t xml:space="preserve"> </w:t>
      </w:r>
      <w:bookmarkStart w:id="326" w:name="HasTemporalValidity"/>
      <w:bookmarkEnd w:id="326"/>
    </w:p>
    <w:p>
      <w:pPr>
        <w:pStyle w:val="FirstParagraph"/>
      </w:pPr>
      <w:r>
        <w:rPr>
          <w:i/>
          <w:iCs/>
        </w:rPr>
        <w:t xml:space="preserve">A mixin class that provides slots for modeling a temporal validity of information (not of an event).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p>
      <w:pPr>
        <w:pStyle w:val="Beschriftung"/>
      </w:pPr>
      <w:r>
        <w:t xml:space="preserve">Table</w:t>
      </w:r>
      <w:r>
        <w:t xml:space="preserve"> </w:t>
      </w:r>
      <w:fldSimple w:instr=" SEQ Table \* ARABIC ">
        <w:r>
          <w:t>1</w:t>
        </w:r>
      </w:fldSimple>
      <w:r>
        <w:t xml:space="preserve">: HasTemporalValidity – Attribute</w:t>
      </w:r>
    </w:p>
    <w:bookmarkEnd w:id="327"/>
    <w:bookmarkStart w:id="328"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hascreationmodificationdates"/>
    <w:p>
      <w:pPr>
        <w:pStyle w:val="berschrift2"/>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p>
      <w:pPr>
        <w:pStyle w:val="Beschriftung"/>
      </w:pPr>
      <w:r>
        <w:t xml:space="preserve">Table</w:t>
      </w:r>
      <w:r>
        <w:t xml:space="preserve"> </w:t>
      </w:r>
      <w:fldSimple w:instr=" SEQ Table \* ARABIC ">
        <w:r>
          <w:t>1</w:t>
        </w:r>
      </w:fldSimple>
      <w:r>
        <w:t xml:space="preserve">: HasCreationModificationDates – Attribute</w:t>
      </w:r>
    </w:p>
    <w:bookmarkEnd w:id="331"/>
    <w:bookmarkStart w:id="332"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7" w:name="data-protection"/>
    <w:p>
      <w:pPr>
        <w:pStyle w:val="berschrift1"/>
      </w:pPr>
      <w:r>
        <w:t xml:space="preserve">Data protection</w:t>
      </w:r>
    </w:p>
    <w:p>
      <w:pPr>
        <w:pStyle w:val="FirstParagraph"/>
      </w:pPr>
      <w:r>
        <w:t xml:space="preserve">This standard describes data about natural persons. Such data are personal data within the meaning of Art. 5 lit. a of the Swiss Federal Act on Data Protection (FADP). Information on party affiliation, mandates and interest links allows political opinions to be inferred and therefore constitutes sensitive personal data (Art. 5 lit. c FADP). For cantonal and municipal bodies, the respective cantonal data protection and freedom of information acts apply.</w:t>
      </w:r>
    </w:p>
    <w:p>
      <w:pPr>
        <w:pStyle w:val="Textkrper"/>
      </w:pPr>
      <w:r>
        <w:t xml:space="preserve">As politicians or members of public bodies, the persons described are of public interest. Much of their information is already published today on the basis of disclosure obligations or the principle of transparency. The standard does not, however, create a legal basis for publication, nor does it impose an obligation to publish individual attributes.</w:t>
      </w:r>
    </w:p>
    <w:p>
      <w:pPr>
        <w:pStyle w:val="Textkrper"/>
      </w:pPr>
      <w:r>
        <w:t xml:space="preserve">Whether and to what extent data are published is the responsibility of the publishing body. It decides on the basis of the legal provisions applicable to it and takes the necessary precautions, for example by flagging information not intended for publication or making it visible only internally.</w:t>
      </w:r>
    </w:p>
    <w:p>
      <w:pPr>
        <w:pStyle w:val="Textkrper"/>
      </w:pPr>
      <w:r>
        <w:t xml:space="preserve">The following points require particular attention:</w:t>
      </w:r>
    </w:p>
    <w:p>
      <w:pPr>
        <w:pStyle w:val="Compact"/>
        <w:numPr>
          <w:ilvl w:val="0"/>
          <w:numId w:val="1019"/>
        </w:numPr>
      </w:pPr>
      <w:r>
        <w:rPr>
          <w:b/>
          <w:bCs/>
        </w:rPr>
        <w:t xml:space="preserve">Data minimisation.</w:t>
      </w:r>
      <w:r>
        <w:t xml:space="preserve"> </w:t>
      </w:r>
      <w:r>
        <w:t xml:space="preserve">Optional elements, in particular date of birth, address and contact details, are populated only where they are necessary for the purpose of the publication.</w:t>
      </w:r>
    </w:p>
    <w:p>
      <w:pPr>
        <w:pStyle w:val="Compact"/>
        <w:numPr>
          <w:ilvl w:val="0"/>
          <w:numId w:val="1019"/>
        </w:numPr>
      </w:pPr>
      <w:r>
        <w:rPr>
          <w:b/>
          <w:bCs/>
        </w:rPr>
        <w:t xml:space="preserve">Private residential addresses.</w:t>
      </w:r>
      <w:r>
        <w:t xml:space="preserve"> </w:t>
      </w:r>
      <w:r>
        <w:t xml:space="preserve">Their publication is the subject of motions</w:t>
      </w:r>
      <w:r>
        <w:t xml:space="preserve"> </w:t>
      </w:r>
      <w:hyperlink ns1:id="rId335">
        <w:r>
          <w:rPr>
            <w:rStyle w:val="Hyperlink"/>
          </w:rPr>
          <w:t xml:space="preserve">24.3425</w:t>
        </w:r>
      </w:hyperlink>
      <w:r>
        <w:t xml:space="preserve"> </w:t>
      </w:r>
      <w:r>
        <w:t xml:space="preserve">(replacing the private residential address as identifier of the authors of popular initiatives) and</w:t>
      </w:r>
      <w:r>
        <w:t xml:space="preserve"> </w:t>
      </w:r>
      <w:hyperlink ns1:id="rId336">
        <w:r>
          <w:rPr>
            <w:rStyle w:val="Hyperlink"/>
          </w:rPr>
          <w:t xml:space="preserve">23.3913</w:t>
        </w:r>
      </w:hyperlink>
      <w:r>
        <w:t xml:space="preserve"> </w:t>
      </w:r>
      <w:r>
        <w:t xml:space="preserve">(preventing the obligation to publish the residential addresses of members of parliament). Where an address is required, a business or correspondence address is to be used where possible.</w:t>
      </w:r>
    </w:p>
    <w:p>
      <w:pPr>
        <w:pStyle w:val="Compact"/>
        <w:numPr>
          <w:ilvl w:val="0"/>
          <w:numId w:val="1019"/>
        </w:numPr>
      </w:pPr>
      <w:r>
        <w:rPr>
          <w:b/>
          <w:bCs/>
        </w:rPr>
        <w:t xml:space="preserve">Aggregation.</w:t>
      </w:r>
      <w:r>
        <w:t xml:space="preserve"> </w:t>
      </w:r>
      <w:r>
        <w:t xml:space="preserve">Combining several sources can produce personality profiles that go beyond the purpose of any individual publication. Whoever combines data according to this standard re-examines the purpose limitation.</w:t>
      </w:r>
    </w:p>
    <w:p>
      <w:pPr>
        <w:pStyle w:val="Compact"/>
        <w:numPr>
          <w:ilvl w:val="0"/>
          <w:numId w:val="1019"/>
        </w:numPr>
      </w:pPr>
      <w:r>
        <w:rPr>
          <w:b/>
          <w:bCs/>
        </w:rPr>
        <w:t xml:space="preserve">Historical values in references.</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retain local attributes as of the time of linking. They must not be interpreted as the current state.</w:t>
      </w:r>
    </w:p>
    <w:p>
      <w:r>
        <w:br w:type="page"/>
      </w:r>
    </w:p>
    <w:bookmarkEnd w:id="337"/>
    <w:bookmarkStart w:id="338" w:name="safety-considerations"/>
    <w:p>
      <w:pPr>
        <w:pStyle w:val="berschrift1"/>
      </w:pPr>
      <w:r>
        <w:t xml:space="preserve">Safety considerations</w:t>
      </w:r>
    </w:p>
    <w:p>
      <w:pPr>
        <w:pStyle w:val="FirstParagraph"/>
      </w:pPr>
      <w:r>
        <w:t xml:space="preserve">The definition of the exchange formats as such does not raise any security-related issues. Where authorities wish to exchange the data specified in this document electronically, they must ensure that the necessary legal bases are in place. When the data are exchanged, the confidentiality and integrity of the transmitted data must be ensured.</w:t>
      </w:r>
    </w:p>
    <w:p>
      <w:r>
        <w:br w:type="page"/>
      </w:r>
    </w:p>
    <w:bookmarkEnd w:id="338"/>
    <w:bookmarkStart w:id="339" w:name="Xf6b36430cae8a20854059102669aeb9c31aab5e"/>
    <w:p>
      <w:pPr>
        <w:pStyle w:val="berschrift1"/>
      </w:pPr>
      <w:r>
        <w:t xml:space="preserve">Disclaimer/Reference to third party rights</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p>
      <w:r>
        <w:br w:type="page"/>
      </w:r>
    </w:p>
    <w:bookmarkEnd w:id="339"/>
    <w:bookmarkStart w:id="360"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Start w:id="340" w:name="annex-a-references-bibliography"/>
    <w:p>
      <w:pPr>
        <w:pStyle w:val="Anhangberschrift"/>
      </w:pPr>
      <w:r>
        <w:t xml:space="preserve">Annex A – References &amp; Bibliography</w:t>
      </w:r>
    </w:p>
    <w:bookmarkEnd w:id="340"/>
    <w:p>
      <w:pPr>
        <w:pStyle w:val="Textkrper"/>
      </w:pPr>
      <w:r>
        <w:t xml:space="preserve">Where a version is stated, it is the one this standard was developed against.</w:t>
      </w:r>
    </w:p>
    <w:bookmarkStart w:id="341" w:name="Xfcdf64c5b35a14cc7e801690b320675370e1c62"/>
    <w:p>
      <w:pPr>
        <w:pStyle w:val="Anhangberschrift2"/>
      </w:pPr>
      <w:r>
        <w:t xml:space="preserve">Standards of the</w:t>
      </w:r>
      <w:r>
        <w:t xml:space="preserve"> </w:t>
      </w:r>
      <w:r>
        <w:t xml:space="preserve">“Political Affairs”</w:t>
      </w:r>
      <w:r>
        <w:t xml:space="preserve"> </w:t>
      </w:r>
      <w:r>
        <w:t xml:space="preserve">specialist group</w:t>
      </w:r>
    </w:p>
    <w:bookmarkEnd w:id="341"/>
    <w:p>
      <w:pPr>
        <w:pStyle w:val="Textkrper"/>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4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4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4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6">
              <w:r>
                <w:rPr>
                  <w:rStyle w:val="Hyperlink"/>
                </w:rPr>
                <w:t xml:space="preserve">https://www.ech.ch/de/ech/ech-0297</w:t>
              </w:r>
            </w:hyperlink>
          </w:p>
        </w:tc>
      </w:tr>
    </w:tbl>
    <w:bookmarkStart w:id="347" w:name="further-ech-standards"/>
    <w:p>
      <w:pPr>
        <w:pStyle w:val="Anhangberschrift2"/>
      </w:pPr>
      <w:r>
        <w:t xml:space="preserve">Further eCH standards</w:t>
      </w:r>
    </w:p>
    <w:bookmarkEnd w:id="347"/>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48">
              <w:r>
                <w:rPr>
                  <w:rStyle w:val="Hyperlink"/>
                </w:rPr>
                <w:t xml:space="preserve">https://www.ech.ch/de/ech/ech-0108/6.0.0</w:t>
              </w:r>
            </w:hyperlink>
          </w:p>
        </w:tc>
      </w:tr>
    </w:tbl>
    <w:bookmarkStart w:id="349" w:name="code-lists-and-further-sources"/>
    <w:p>
      <w:pPr>
        <w:pStyle w:val="Anhangberschrift2"/>
      </w:pPr>
      <w:r>
        <w:t xml:space="preserve">Code lists and further sources</w:t>
      </w:r>
    </w:p>
    <w:bookmarkEnd w:id="349"/>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5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5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5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5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54">
              <w:r>
                <w:rPr>
                  <w:rStyle w:val="Hyperlink"/>
                </w:rPr>
                <w:t xml:space="preserve">https://linkml.io</w:t>
              </w:r>
            </w:hyperlink>
          </w:p>
        </w:tc>
      </w:tr>
    </w:tbl>
    <w:p>
      <w:r>
        <w:br w:type="page"/>
      </w:r>
    </w:p>
    <w:bookmarkStart w:id="355" w:name="annex-b-cooperation-verification"/>
    <w:p>
      <w:pPr>
        <w:pStyle w:val="Anhangberschrift"/>
      </w:pPr>
      <w:r>
        <w:t xml:space="preserve">Annex B – Cooperation &amp; Verification</w:t>
      </w:r>
    </w:p>
    <w:bookmarkEnd w:id="355"/>
    <w:p>
      <w:pPr>
        <w:pStyle w:val="Textkrper"/>
      </w:pPr>
      <w:r>
        <w:t xml:space="preserve">Specialist group</w:t>
      </w:r>
      <w:r>
        <w:t xml:space="preserve"> </w:t>
      </w:r>
      <w:r>
        <w:t xml:space="preserve">“Political Affairs”</w:t>
      </w:r>
      <w:r>
        <w:t xml:space="preserve">, subgroup</w:t>
      </w:r>
      <w:r>
        <w:t xml:space="preserve"> </w:t>
      </w:r>
      <w:r>
        <w:t xml:space="preserve">“Political Actors”</w:t>
      </w:r>
      <w: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Federal Statistical Office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University of Zurich, IPZ</w:t>
            </w:r>
          </w:p>
        </w:tc>
      </w:tr>
      <w:tr>
        <w:tc>
          <w:tcPr/>
          <w:p>
            <w:pPr>
              <w:pStyle w:val="Compact"/>
            </w:pPr>
            <w:r>
              <w:t xml:space="preserve">Daniela Koller</w:t>
            </w:r>
          </w:p>
        </w:tc>
        <w:tc>
          <w:tcPr/>
          <w:p>
            <w:pPr>
              <w:pStyle w:val="Compact"/>
            </w:pPr>
            <w:r>
              <w:t xml:space="preserve">Canton of Thurgau</w:t>
            </w:r>
          </w:p>
        </w:tc>
      </w:tr>
      <w:tr>
        <w:tc>
          <w:tcPr>
            <w:shd w:val="clear" w:color="auto" w:fill="F2F2F2"/>
          </w:tcPr>
          <w:p>
            <w:pPr>
              <w:pStyle w:val="Compact"/>
            </w:pPr>
            <w:r>
              <w:t xml:space="preserve">Thomas Roth</w:t>
            </w:r>
          </w:p>
        </w:tc>
        <w:tc>
          <w:tcPr>
            <w:shd w:val="clear" w:color="auto" w:fill="F2F2F2"/>
          </w:tcPr>
          <w:p>
            <w:pPr>
              <w:pStyle w:val="Compact"/>
            </w:pPr>
            <w:r>
              <w:t xml:space="preserve">Lobbywatch.ch</w:t>
            </w: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Parliamentary Services</w:t>
            </w:r>
          </w:p>
        </w:tc>
      </w:tr>
      <w:tr>
        <w:tc>
          <w:tcPr/>
          <w:p>
            <w:pPr>
              <w:pStyle w:val="Compact"/>
            </w:pPr>
            <w:r>
              <w:t xml:space="preserve">Orhan Saeedi</w:t>
            </w:r>
          </w:p>
        </w:tc>
        <w:tc>
          <w:tcPr/>
          <w:p>
            <w:pPr>
              <w:pStyle w:val="Compact"/>
            </w:pPr>
            <w:r>
              <w:t xml:space="preserve">Canton of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Federal Chancellery</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Remark</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Specialist group</w:t>
            </w:r>
            <w:r>
              <w:t xml:space="preserve"> </w:t>
            </w:r>
            <w:r>
              <w:t xml:space="preserve">“Political Affairs”</w:t>
            </w:r>
          </w:p>
        </w:tc>
        <w:tc>
          <w:tcPr>
            <w:shd w:val="clear" w:color="auto" w:fill="F2F2F2"/>
          </w:tcPr>
          <w:p>
            <w:pPr>
              <w:pStyle w:val="Compact"/>
            </w:pPr>
            <w:r>
              <w:t xml:space="preserve">Submitted as proposal</w:t>
            </w:r>
          </w:p>
        </w:tc>
      </w:tr>
    </w:tbl>
    <w:bookmarkStart w:id="356" w:name="annex-c-abbreviations-and-glossary"/>
    <w:p>
      <w:pPr>
        <w:pStyle w:val="Anhangberschrift"/>
      </w:pPr>
      <w:r>
        <w:t xml:space="preserve">Annex C – Abbreviations and Glossary</w:t>
      </w:r>
    </w:p>
    <w:bookmarkEnd w:id="356"/>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FADP</w:t>
            </w:r>
          </w:p>
        </w:tc>
        <w:tc>
          <w:tcPr/>
          <w:p>
            <w:pPr>
              <w:pStyle w:val="Compact"/>
            </w:pPr>
            <w:r>
              <w:t xml:space="preserve">Swiss Federal Act on Data Protection, in force since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Interoperability platform of the Federal Statistical Office; source of several code lists.</w:t>
            </w:r>
          </w:p>
        </w:tc>
      </w:tr>
      <w:tr>
        <w:tc>
          <w:tcPr/>
          <w:p>
            <w:pPr>
              <w:pStyle w:val="Compact"/>
            </w:pPr>
            <w:r>
              <w:t xml:space="preserve">IRI</w:t>
            </w:r>
          </w:p>
        </w:tc>
        <w:tc>
          <w:tcPr/>
          <w:p>
            <w:pPr>
              <w:pStyle w:val="Compact"/>
            </w:pPr>
            <w:r>
              <w:t xml:space="preserve">Internationalized Resource Identifier. Extension of the URI to the full Unicode character set.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Serialisation of linked data in JSON.</w:t>
            </w:r>
          </w:p>
        </w:tc>
      </w:tr>
      <w:tr>
        <w:tc>
          <w:tcPr/>
          <w:p>
            <w:pPr>
              <w:pStyle w:val="Compact"/>
            </w:pPr>
            <w:r>
              <w:t xml:space="preserve">LINDAS</w:t>
            </w:r>
          </w:p>
        </w:tc>
        <w:tc>
          <w:tcPr/>
          <w:p>
            <w:pPr>
              <w:pStyle w:val="Compact"/>
            </w:pPr>
            <w:r>
              <w:t xml:space="preserve">Linked Data Service of the Swiss Federal Administration.</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The modelling language in which this standard is defined.</w:t>
            </w:r>
          </w:p>
        </w:tc>
      </w:tr>
      <w:tr>
        <w:tc>
          <w:tcPr/>
          <w:p>
            <w:pPr>
              <w:pStyle w:val="Compact"/>
            </w:pPr>
            <w:r>
              <w:t xml:space="preserve">NOGA</w:t>
            </w:r>
          </w:p>
        </w:tc>
        <w:tc>
          <w:tcPr/>
          <w:p>
            <w:pPr>
              <w:pStyle w:val="Compact"/>
            </w:pPr>
            <w:r>
              <w:t xml:space="preserve">General Classification of Economic Activities of the Federal Statistical Office.</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Data model for linked data; delivered here as Turtle (.ttl).</w:t>
            </w:r>
          </w:p>
        </w:tc>
      </w:tr>
      <w:tr>
        <w:tc>
          <w:tcPr/>
          <w:p>
            <w:pPr>
              <w:pStyle w:val="Compact"/>
            </w:pPr>
            <w:r>
              <w:t xml:space="preserve">UID</w:t>
            </w:r>
          </w:p>
        </w:tc>
        <w:tc>
          <w:tcPr/>
          <w:p>
            <w:pPr>
              <w:pStyle w:val="Compact"/>
            </w:pPr>
            <w:r>
              <w:t xml:space="preserve">Business Identification Number. Unique key of a Swiss enterprise according to the Federal Statistical Office.</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Unique identifier of a resource.</w:t>
            </w:r>
          </w:p>
        </w:tc>
      </w:tr>
      <w:tr>
        <w:tc>
          <w:tcPr/>
          <w:p>
            <w:pPr>
              <w:pStyle w:val="Compact"/>
            </w:pPr>
            <w:r>
              <w:t xml:space="preserve">XSD</w:t>
            </w:r>
          </w:p>
        </w:tc>
        <w:tc>
          <w:tcPr/>
          <w:p>
            <w:pPr>
              <w:pStyle w:val="Compact"/>
            </w:pPr>
            <w:r>
              <w:t xml:space="preserve">XML Schema Definition. W3C recommendation for defining structures of XML documents.</w:t>
            </w:r>
          </w:p>
        </w:tc>
      </w:tr>
    </w:tbl>
    <w:bookmarkStart w:id="357" w:name="Xa41f8ac50b1484a1ad1046da721cd61e5113639"/>
    <w:p>
      <w:pPr>
        <w:pStyle w:val="Anhangberschrift"/>
      </w:pPr>
      <w:r>
        <w:t xml:space="preserve">Annex D – Changes in comparison to the previous version</w:t>
      </w:r>
    </w:p>
    <w:bookmarkEnd w:id="357"/>
    <w:p>
      <w:pPr>
        <w:pStyle w:val="Textkrper"/>
      </w:pPr>
      <w:r>
        <w:t xml:space="preserve">This is the first version.</w:t>
      </w:r>
    </w:p>
    <w:p>
      <w:r>
        <w:br w:type="page"/>
      </w:r>
    </w:p>
    <w:bookmarkStart w:id="358" w:name="annex-e-table-of-figures"/>
    <w:p>
      <w:pPr>
        <w:pStyle w:val="Anhangberschrift"/>
      </w:pPr>
      <w:r>
        <w:t xml:space="preserve">Annex E – Table of Figures</w:t>
      </w:r>
    </w:p>
    <w:bookmarkEnd w:id="358"/>
    <w:p>
      <w:pPr>
        <w:pStyle w:val="Textkrper"/>
      </w:pPr>
      <w:r>
        <w:t xml:space="preserve">None</w:t>
      </w:r>
    </w:p>
    <w:bookmarkStart w:id="359" w:name="annex-f-table-of-tables"/>
    <w:p>
      <w:pPr>
        <w:pStyle w:val="Anhangberschrift"/>
      </w:pPr>
      <w:r>
        <w:t xml:space="preserve">Annex F – Table of Tables</w:t>
      </w:r>
    </w:p>
    <w:bookmarkEnd w:id="359"/>
    <w:p>
      <w:r>
        <w:fldChar w:fldCharType="begin" w:dirty="true"/>
      </w:r>
      <w:r>
        <w:instrText xml:space="preserve"> TOC \h \z \c "Table" </w:instrText>
      </w:r>
      <w:r>
        <w:fldChar w:fldCharType="separate"/>
      </w:r>
      <w:r>
        <w:t>Right-click &gt; "Update field" to generate the table of tables.</w:t>
      </w:r>
      <w:r>
        <w:fldChar w:fldCharType="end"/>
      </w:r>
    </w:p>
    <w:bookmarkEnd w:id="3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51"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4"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3"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8" Target="https://www.ech.ch/de/ech/ech-0108/6.0.0" TargetMode="External" /><Relationship Type="http://schemas.openxmlformats.org/officeDocument/2006/relationships/hyperlink" Id="rId342" Target="https://www.ech.ch/de/ech/ech-0292" TargetMode="External" /><Relationship Type="http://schemas.openxmlformats.org/officeDocument/2006/relationships/hyperlink" Id="rId343" Target="https://www.ech.ch/de/ech/ech-0293" TargetMode="External" /><Relationship Type="http://schemas.openxmlformats.org/officeDocument/2006/relationships/hyperlink" Id="rId344" Target="https://www.ech.ch/de/ech/ech-0295" TargetMode="External" /><Relationship Type="http://schemas.openxmlformats.org/officeDocument/2006/relationships/hyperlink" Id="rId345" Target="https://www.ech.ch/de/ech/ech-0296" TargetMode="External" /><Relationship Type="http://schemas.openxmlformats.org/officeDocument/2006/relationships/hyperlink" Id="rId346" Target="https://www.ech.ch/de/ech/ech-0297" TargetMode="External" /><Relationship Type="http://schemas.openxmlformats.org/officeDocument/2006/relationships/hyperlink" Id="rId350"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336" Target="https://www.parlament.ch/en/ratsbetrieb/suche-curia-vista/geschaeft?AffairId=20233913" TargetMode="External" /><Relationship Type="http://schemas.openxmlformats.org/officeDocument/2006/relationships/hyperlink" Id="rId335" Target="https://www.parlament.ch/en/ratsbetrieb/suche-curia-vista/geschaeft?AffairId=20243425"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5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51"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4"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3"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8" Target="https://www.ech.ch/de/ech/ech-0108/6.0.0" TargetMode="External" /><Relationship Type="http://schemas.openxmlformats.org/officeDocument/2006/relationships/hyperlink" Id="rId342" Target="https://www.ech.ch/de/ech/ech-0292" TargetMode="External" /><Relationship Type="http://schemas.openxmlformats.org/officeDocument/2006/relationships/hyperlink" Id="rId343" Target="https://www.ech.ch/de/ech/ech-0293" TargetMode="External" /><Relationship Type="http://schemas.openxmlformats.org/officeDocument/2006/relationships/hyperlink" Id="rId344" Target="https://www.ech.ch/de/ech/ech-0295" TargetMode="External" /><Relationship Type="http://schemas.openxmlformats.org/officeDocument/2006/relationships/hyperlink" Id="rId345" Target="https://www.ech.ch/de/ech/ech-0296" TargetMode="External" /><Relationship Type="http://schemas.openxmlformats.org/officeDocument/2006/relationships/hyperlink" Id="rId346" Target="https://www.ech.ch/de/ech/ech-0297" TargetMode="External" /><Relationship Type="http://schemas.openxmlformats.org/officeDocument/2006/relationships/hyperlink" Id="rId350"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336" Target="https://www.parlament.ch/en/ratsbetrieb/suche-curia-vista/geschaeft?AffairId=20233913" TargetMode="External" /><Relationship Type="http://schemas.openxmlformats.org/officeDocument/2006/relationships/hyperlink" Id="rId335" Target="https://www.parlament.ch/en/ratsbetrieb/suche-curia-vista/geschaeft?AffairId=20243425"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5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2026-10-16T07:59:14Z</dcterms:created>
  <dcterms:modified xsi:type="dcterms:W3CDTF">2026-10-16T07:59:14Z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