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126"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113"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7"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Start w:id="56" w:name="beispiele"/>
    <w:p>
      <w:pPr>
        <w:pStyle w:val="berschrift4"/>
      </w:pPr>
      <w:r>
        <w:t xml:space="preserve">Beispiele</w:t>
      </w:r>
    </w:p>
    <w:bookmarkStart w:id="54" w:name="X4108a8e1a46751c5267d1781fce70b916d00e4b"/>
    <w:p>
      <w:pPr>
        <w:pStyle w:val="berschrift5"/>
      </w:pPr>
      <w:r>
        <w:t xml:space="preserve">Beispiel Identification: sr101 excerpt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p>
    <w:bookmarkEnd w:id="54"/>
    <w:bookmarkStart w:id="55" w:name="beispiel-identification-bgoe-excerpt-1-1"/>
    <w:p>
      <w:pPr>
        <w:pStyle w:val="berschrift5"/>
      </w:pPr>
      <w:r>
        <w:t xml:space="preserve">Beispiel Identification: bgoe excerpt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55"/>
    <w:bookmarkEnd w:id="56"/>
    <w:bookmarkEnd w:id="57"/>
    <w:bookmarkStart w:id="64" w:name="klasse-frbrwork"/>
    <w:p>
      <w:pPr>
        <w:pStyle w:val="berschrift3"/>
      </w:pPr>
      <w:r>
        <w:t xml:space="preserve">Klasse: FRBRWork</w:t>
      </w:r>
      <w:r>
        <w:t xml:space="preserve"> </w:t>
      </w:r>
      <w:bookmarkStart w:id="58" w:name="FRBRWork"/>
      <w:bookmarkEnd w:id="58"/>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5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frbr_number</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SR-Nummer (akn:FRBRnumber/</w:t>
            </w:r>
            <w:r>
              <w:t xml:space="preserve">@value</w:t>
            </w:r>
            <w:r>
              <w:t xml:space="preserve">), z.B.</w:t>
            </w:r>
            <w:r>
              <w:t xml:space="preserve"> </w:t>
            </w:r>
            <w:r>
              <w:t xml:space="preserve">‘101’</w:t>
            </w:r>
            <w:r>
              <w:t xml:space="preserve">.</w:t>
            </w:r>
          </w:p>
        </w:tc>
      </w:tr>
      <w:tr>
        <w:tc>
          <w:tcPr>
            <w:shd w:val="clear" w:color="auto" w:fill="F2F2F2"/>
          </w:tcPr>
          <w:p>
            <w:pPr>
              <w:pStyle w:val="Compact"/>
            </w:pPr>
            <w:r>
              <w:t xml:space="preserve">frbr_names</w:t>
            </w:r>
          </w:p>
        </w:tc>
        <w:tc>
          <w:tcPr>
            <w:shd w:val="clear" w:color="auto" w:fill="F2F2F2"/>
          </w:tcPr>
          <w:p>
            <w:pPr>
              <w:pStyle w:val="Compact"/>
            </w:pPr>
            <w:r>
              <w:t xml:space="preserve">*</w:t>
            </w:r>
            <w:r>
              <w:t xml:space="preserve"> </w:t>
            </w:r>
            <w:r>
              <w:t xml:space="preserve"> </w:t>
            </w:r>
            <w:hyperlink w:anchor="FRBRName">
              <w:r>
                <w:rPr>
                  <w:rStyle w:val="Hyperlink"/>
                </w:rPr>
                <w:t xml:space="preserve">FRBRName</w:t>
              </w:r>
            </w:hyperlink>
          </w:p>
        </w:tc>
        <w:tc>
          <w:tcPr>
            <w:shd w:val="clear" w:color="auto" w:fill="F2F2F2"/>
          </w:tcPr>
          <w:p>
            <w:pPr>
              <w:pStyle w:val="Compact"/>
            </w:pPr>
            <w:r>
              <w:t xml:space="preserve">Mehrsprachige Namenseinträge des FRBR-Works (akn:FRBRname). Ein Eintrag pro Sprache.</w:t>
            </w:r>
          </w:p>
        </w:tc>
      </w:tr>
      <w:tr>
        <w:tc>
          <w:tcPr/>
          <w:p>
            <w:pPr>
              <w:pStyle w:val="Compact"/>
            </w:pPr>
            <w:r>
              <w:t xml:space="preserve">frbr_authoritative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Ob dies die massgebliche Version ist (akn:FRBRauthoritative/</w:t>
            </w:r>
            <w:r>
              <w:t xml:space="preserve">@value</w:t>
            </w:r>
            <w:r>
              <w:t xml:space="preserve">).</w:t>
            </w:r>
          </w:p>
        </w:tc>
      </w:tr>
    </w:tbl>
    <w:bookmarkEnd w:id="59"/>
    <w:bookmarkStart w:id="60"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60"/>
    <w:bookmarkStart w:id="63" w:name="beispiele-1"/>
    <w:p>
      <w:pPr>
        <w:pStyle w:val="berschrift4"/>
      </w:pPr>
      <w:r>
        <w:t xml:space="preserve">Beispiele</w:t>
      </w:r>
    </w:p>
    <w:bookmarkStart w:id="61" w:name="beispiel-frbrwork-sr101-excerpt-1-1"/>
    <w:p>
      <w:pPr>
        <w:pStyle w:val="berschrift5"/>
      </w:pPr>
      <w:r>
        <w:t xml:space="preserve">Beispiel FRBRWork: sr101 excerpt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1"/>
    <w:bookmarkStart w:id="62" w:name="beispiel-frbrwork-bgoe-excerpt-1-1"/>
    <w:p>
      <w:pPr>
        <w:pStyle w:val="berschrift5"/>
      </w:pPr>
      <w:r>
        <w:t xml:space="preserve">Beispiel FRBRWork: bgoe excerpt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2"/>
    <w:bookmarkEnd w:id="63"/>
    <w:bookmarkEnd w:id="64"/>
    <w:bookmarkStart w:id="71" w:name="klasse-frbrexpression"/>
    <w:p>
      <w:pPr>
        <w:pStyle w:val="berschrift3"/>
      </w:pPr>
      <w:r>
        <w:t xml:space="preserve">Klasse: FRBRExpression</w:t>
      </w:r>
      <w:r>
        <w:t xml:space="preserve"> </w:t>
      </w:r>
      <w:bookmarkStart w:id="65" w:name="FRBRExpression"/>
      <w:bookmarkEnd w:id="65"/>
    </w:p>
    <w:p>
      <w:pPr>
        <w:pStyle w:val="FirstParagraph"/>
      </w:pPr>
      <w:r>
        <w:rPr>
          <w:i/>
          <w:iCs/>
        </w:rPr>
        <w:t xml:space="preserve">FRBR-Expression-Ebene (akn:FRBRExpression): eine sprachspezifische Version des Erlasses. Identifiziert durch einen ELI-URI mit Sprachcode.</w:t>
      </w:r>
    </w:p>
    <w:bookmarkStart w:id="66"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6"/>
    <w:bookmarkStart w:id="67"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7"/>
    <w:bookmarkStart w:id="70" w:name="beispiele-2"/>
    <w:p>
      <w:pPr>
        <w:pStyle w:val="berschrift4"/>
      </w:pPr>
      <w:r>
        <w:t xml:space="preserve">Beispiele</w:t>
      </w:r>
    </w:p>
    <w:bookmarkStart w:id="68" w:name="Xe316fe943b7ab72d27488aab9fa5b13304bd686"/>
    <w:p>
      <w:pPr>
        <w:pStyle w:val="berschrift5"/>
      </w:pPr>
      <w:r>
        <w:t xml:space="preserve">Beispiel FRBRExpression: sr101 excerpt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68"/>
    <w:bookmarkStart w:id="69" w:name="beispiel-frbrexpression-bgoe-excerpt-1-1"/>
    <w:p>
      <w:pPr>
        <w:pStyle w:val="berschrift5"/>
      </w:pPr>
      <w:r>
        <w:t xml:space="preserve">Beispiel FRBRExpression: bgoe excerpt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69"/>
    <w:bookmarkEnd w:id="70"/>
    <w:bookmarkEnd w:id="71"/>
    <w:bookmarkStart w:id="78" w:name="klasse-frbrmanifestation"/>
    <w:p>
      <w:pPr>
        <w:pStyle w:val="berschrift3"/>
      </w:pPr>
      <w:r>
        <w:t xml:space="preserve">Klasse: FRBRManifestation</w:t>
      </w:r>
      <w:r>
        <w:t xml:space="preserve"> </w:t>
      </w:r>
      <w:bookmarkStart w:id="72" w:name="FRBRManifestation"/>
      <w:bookmarkEnd w:id="72"/>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73"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73"/>
    <w:bookmarkStart w:id="74"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74"/>
    <w:bookmarkStart w:id="77" w:name="beispiele-3"/>
    <w:p>
      <w:pPr>
        <w:pStyle w:val="berschrift4"/>
      </w:pPr>
      <w:r>
        <w:t xml:space="preserve">Beispiele</w:t>
      </w:r>
    </w:p>
    <w:bookmarkStart w:id="75" w:name="Xb71f1e7dec5e34ce761725b99634a69d4563ede"/>
    <w:p>
      <w:pPr>
        <w:pStyle w:val="berschrift5"/>
      </w:pPr>
      <w:r>
        <w:t xml:space="preserve">Beispiel FRBRManifestation: bgoe excerpt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75"/>
    <w:bookmarkStart w:id="76" w:name="Xb777b4f73963069ca8d1a5ce2aba6cef438f5da"/>
    <w:p>
      <w:pPr>
        <w:pStyle w:val="berschrift5"/>
      </w:pPr>
      <w:r>
        <w:t xml:space="preserve">Beispiel FRBRManifestation: sr101 excerpt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p>
    <w:bookmarkEnd w:id="76"/>
    <w:bookmarkEnd w:id="77"/>
    <w:bookmarkEnd w:id="78"/>
    <w:bookmarkStart w:id="89" w:name="klasse-frbrdate"/>
    <w:p>
      <w:pPr>
        <w:pStyle w:val="berschrift3"/>
      </w:pPr>
      <w:r>
        <w:t xml:space="preserve">Klasse: FRBRDate</w:t>
      </w:r>
      <w:r>
        <w:t xml:space="preserve"> </w:t>
      </w:r>
      <w:bookmarkStart w:id="79" w:name="FRBRDate"/>
      <w:bookmarkEnd w:id="79"/>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80"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w:t>
            </w:r>
          </w:p>
        </w:tc>
        <w:tc>
          <w:tcPr/>
          <w:p>
            <w:pPr>
              <w:pStyle w:val="Compact"/>
            </w:pPr>
            <w:r>
              <w:t xml:space="preserve">Datumstyp (akn:FRBRdate/</w:t>
            </w:r>
            <w:r>
              <w:t xml:space="preserve">@name</w:t>
            </w:r>
            <w:r>
              <w:t xml:space="preserve">), mit Fedlex/JoLux-Vokabular, z.B.</w:t>
            </w:r>
            <w:r>
              <w:t xml:space="preserve"> </w:t>
            </w:r>
            <w:r>
              <w:t xml:space="preserve">‘jolux:dateEntryInForce’</w:t>
            </w:r>
            <w:r>
              <w:t xml:space="preserve">,</w:t>
            </w:r>
            <w:r>
              <w:t xml:space="preserve"> </w:t>
            </w:r>
            <w:r>
              <w:t xml:space="preserve">‘jolux:dateDocument’</w:t>
            </w:r>
            <w:r>
              <w:t xml:space="preserve">,</w:t>
            </w:r>
            <w:r>
              <w:t xml:space="preserve"> </w:t>
            </w:r>
            <w:r>
              <w:t xml:space="preserve">‘jolux:dateApplicability’</w:t>
            </w:r>
            <w:r>
              <w:t xml:space="preserve">.</w:t>
            </w:r>
          </w:p>
        </w:tc>
      </w:tr>
    </w:tbl>
    <w:bookmarkEnd w:id="80"/>
    <w:bookmarkStart w:id="81"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81"/>
    <w:bookmarkStart w:id="88" w:name="beispiele-4"/>
    <w:p>
      <w:pPr>
        <w:pStyle w:val="berschrift4"/>
      </w:pPr>
      <w:r>
        <w:t xml:space="preserve">Beispiele</w:t>
      </w:r>
    </w:p>
    <w:bookmarkStart w:id="82" w:name="beispiel-frbrdate-sr101-excerpt-1-2"/>
    <w:p>
      <w:pPr>
        <w:pStyle w:val="berschrift5"/>
      </w:pPr>
      <w:r>
        <w:t xml:space="preserve">Beispiel FRBRDate: sr101 excerpt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82"/>
    <w:bookmarkStart w:id="83" w:name="beispiel-frbrdate-bgoe-excerpt-1-2"/>
    <w:p>
      <w:pPr>
        <w:pStyle w:val="berschrift5"/>
      </w:pPr>
      <w:r>
        <w:t xml:space="preserve">Beispiel FRBRDate: bgoe excerpt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3"/>
    <w:bookmarkStart w:id="84" w:name="beispiel-frbrdate-sr101-excerpt-1-3"/>
    <w:p>
      <w:pPr>
        <w:pStyle w:val="berschrift5"/>
      </w:pPr>
      <w:r>
        <w:t xml:space="preserve">Beispiel FRBRDate: sr101 excerpt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4"/>
    <w:bookmarkStart w:id="85" w:name="beispiel-frbrdate-bgoe-excerpt-1-3"/>
    <w:p>
      <w:pPr>
        <w:pStyle w:val="berschrift5"/>
      </w:pPr>
      <w:r>
        <w:t xml:space="preserve">Beispiel FRBRDate: bgoe excerpt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5"/>
    <w:bookmarkStart w:id="86" w:name="beispiel-frbrdate-bgoe-excerpt-1-1"/>
    <w:p>
      <w:pPr>
        <w:pStyle w:val="berschrift5"/>
      </w:pPr>
      <w:r>
        <w:t xml:space="preserve">Beispiel FRBRDate: bgoe excerpt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6"/>
    <w:bookmarkStart w:id="87" w:name="beispiel-frbrdate-sr101-excerpt-1-1"/>
    <w:p>
      <w:pPr>
        <w:pStyle w:val="berschrift5"/>
      </w:pPr>
      <w:r>
        <w:t xml:space="preserve">Beispiel FRBRDate: sr101 excerpt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7"/>
    <w:bookmarkEnd w:id="88"/>
    <w:bookmarkEnd w:id="89"/>
    <w:bookmarkStart w:id="98" w:name="klasse-frbrauthor"/>
    <w:p>
      <w:pPr>
        <w:pStyle w:val="berschrift3"/>
      </w:pPr>
      <w:r>
        <w:t xml:space="preserve">Klasse: FRBRAuthor</w:t>
      </w:r>
      <w:r>
        <w:t xml:space="preserve"> </w:t>
      </w:r>
      <w:bookmarkStart w:id="90" w:name="FRBRAuthor"/>
      <w:bookmarkEnd w:id="90"/>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91"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91"/>
    <w:bookmarkStart w:id="92"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92"/>
    <w:bookmarkStart w:id="97" w:name="beispiele-5"/>
    <w:p>
      <w:pPr>
        <w:pStyle w:val="berschrift4"/>
      </w:pPr>
      <w:r>
        <w:t xml:space="preserve">Beispiele</w:t>
      </w:r>
    </w:p>
    <w:bookmarkStart w:id="93" w:name="beispiel-frbrauthor-sr101-excerpt-1-2"/>
    <w:p>
      <w:pPr>
        <w:pStyle w:val="berschrift5"/>
      </w:pPr>
      <w:r>
        <w:t xml:space="preserve">Beispiel FRBRAuthor: sr101 excerpt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93"/>
    <w:bookmarkStart w:id="94" w:name="beispiel-frbrauthor-sr101-excerpt-1-1"/>
    <w:p>
      <w:pPr>
        <w:pStyle w:val="berschrift5"/>
      </w:pPr>
      <w:r>
        <w:t xml:space="preserve">Beispiel FRBRAuthor: sr101 excerpt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94"/>
    <w:bookmarkStart w:id="95" w:name="beispiel-frbrauthor-bgoe-excerpt-1-1"/>
    <w:p>
      <w:pPr>
        <w:pStyle w:val="berschrift5"/>
      </w:pPr>
      <w:r>
        <w:t xml:space="preserve">Beispiel FRBRAuthor: bgoe excerpt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95"/>
    <w:bookmarkStart w:id="96" w:name="beispiel-frbrauthor-bgoe-excerpt-1-2"/>
    <w:p>
      <w:pPr>
        <w:pStyle w:val="berschrift5"/>
      </w:pPr>
      <w:r>
        <w:t xml:space="preserve">Beispiel FRBRAuthor: bgoe excerpt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96"/>
    <w:bookmarkEnd w:id="97"/>
    <w:bookmarkEnd w:id="98"/>
    <w:bookmarkStart w:id="112" w:name="klasse-frbrname"/>
    <w:p>
      <w:pPr>
        <w:pStyle w:val="berschrift3"/>
      </w:pPr>
      <w:r>
        <w:t xml:space="preserve">Klasse: FRBRName</w:t>
      </w:r>
      <w:r>
        <w:t xml:space="preserve"> </w:t>
      </w:r>
      <w:bookmarkStart w:id="99" w:name="FRBRName"/>
      <w:bookmarkEnd w:id="99"/>
    </w:p>
    <w:p>
      <w:pPr>
        <w:pStyle w:val="FirstParagraph"/>
      </w:pPr>
      <w:r>
        <w:rPr>
          <w:i/>
          <w:iCs/>
        </w:rPr>
        <w:t xml:space="preserve">Ein mehrsprachiger Namenseintrag des FRBR-Works (akn:FRBRname). Enthält den offiziellen Langtitel und eine optionale Abkürzung. Ein Eintrag pro Sprache.</w:t>
      </w:r>
    </w:p>
    <w:bookmarkStart w:id="10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100"/>
    <w:bookmarkStart w:id="101"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101"/>
    <w:bookmarkStart w:id="111" w:name="beispiele-6"/>
    <w:p>
      <w:pPr>
        <w:pStyle w:val="berschrift4"/>
      </w:pPr>
      <w:r>
        <w:t xml:space="preserve">Beispiele</w:t>
      </w:r>
    </w:p>
    <w:bookmarkStart w:id="102" w:name="beispiel-frbrname-bgoe-excerpt-1-4"/>
    <w:p>
      <w:pPr>
        <w:pStyle w:val="berschrift5"/>
      </w:pPr>
      <w:r>
        <w:t xml:space="preserve">Beispiel FRBRName: bgoe excerpt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02"/>
    <w:bookmarkStart w:id="103" w:name="beispiel-frbrname-sr101-excerpt-1-3"/>
    <w:p>
      <w:pPr>
        <w:pStyle w:val="berschrift5"/>
      </w:pPr>
      <w:r>
        <w:t xml:space="preserve">Beispiel FRBRName: sr101 excerpt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p>
    <w:bookmarkEnd w:id="103"/>
    <w:bookmarkStart w:id="104" w:name="beispiel-frbrname-bgoe-excerpt-1-3"/>
    <w:p>
      <w:pPr>
        <w:pStyle w:val="berschrift5"/>
      </w:pPr>
      <w:r>
        <w:t xml:space="preserve">Beispiel FRBRName: bgoe excerpt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p>
    <w:bookmarkEnd w:id="104"/>
    <w:bookmarkStart w:id="105" w:name="beispiel-frbrname-sr101-excerpt-1-2"/>
    <w:p>
      <w:pPr>
        <w:pStyle w:val="berschrift5"/>
      </w:pPr>
      <w:r>
        <w:t xml:space="preserve">Beispiel FRBRName: sr101 excerpt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05"/>
    <w:bookmarkStart w:id="106" w:name="beispiel-frbrname-bgoe-excerpt-1-2"/>
    <w:p>
      <w:pPr>
        <w:pStyle w:val="berschrift5"/>
      </w:pPr>
      <w:r>
        <w:t xml:space="preserve">Beispiel FRBRName: bgoe excerpt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06"/>
    <w:bookmarkStart w:id="107" w:name="beispiel-frbrname-bgoe-excerpt-1-5"/>
    <w:p>
      <w:pPr>
        <w:pStyle w:val="berschrift5"/>
      </w:pPr>
      <w:r>
        <w:t xml:space="preserve">Beispiel FRBRName: bgoe excerpt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p>
    <w:bookmarkEnd w:id="107"/>
    <w:bookmarkStart w:id="108" w:name="beispiel-frbrname-bgoe-excerpt-1-1"/>
    <w:p>
      <w:pPr>
        <w:pStyle w:val="berschrift5"/>
      </w:pPr>
      <w:r>
        <w:t xml:space="preserve">Beispiel FRBRName: bgoe excerpt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p>
    <w:bookmarkEnd w:id="108"/>
    <w:bookmarkStart w:id="109" w:name="beispiel-frbrname-sr101-excerpt-1-4"/>
    <w:p>
      <w:pPr>
        <w:pStyle w:val="berschrift5"/>
      </w:pPr>
      <w:r>
        <w:t xml:space="preserve">Beispiel FRBRName: sr101 excerpt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09"/>
    <w:bookmarkStart w:id="110" w:name="beispiel-frbrname-sr101-excerpt-1-1"/>
    <w:p>
      <w:pPr>
        <w:pStyle w:val="berschrift5"/>
      </w:pPr>
      <w:r>
        <w:t xml:space="preserve">Beispiel FRBRName: sr101 excerpt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p>
    <w:bookmarkEnd w:id="110"/>
    <w:bookmarkEnd w:id="111"/>
    <w:bookmarkEnd w:id="112"/>
    <w:bookmarkEnd w:id="113"/>
    <w:bookmarkStart w:id="114"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114"/>
    <w:bookmarkStart w:id="118" w:name="typ-eliuri"/>
    <w:p>
      <w:pPr>
        <w:pStyle w:val="berschrift2"/>
      </w:pPr>
      <w:r>
        <w:t xml:space="preserve">Typ: ELIURI</w:t>
      </w:r>
      <w:r>
        <w:t xml:space="preserve"> </w:t>
      </w:r>
      <w:bookmarkStart w:id="115" w:name="ELIURI"/>
      <w:bookmarkEnd w:id="115"/>
    </w:p>
    <w:p>
      <w:pPr>
        <w:pStyle w:val="FirstParagraph"/>
      </w:pPr>
      <w:r>
        <w:rPr>
          <w:i/>
          <w:iCs/>
        </w:rPr>
        <w:t xml:space="preserve">Ein European Legislation Identifier (ELI) URI, wie von Fedlex verwendet.</w:t>
      </w:r>
    </w:p>
    <w:p>
      <w:pPr>
        <w:pStyle w:val="Textkrper"/>
      </w:pPr>
      <w:r>
        <w:t xml:space="preserve">URI:</w:t>
      </w:r>
      <w:r>
        <w:t xml:space="preserve"> </w:t>
      </w:r>
      <w:hyperlink ns1:id="rId116">
        <w:r>
          <w:rPr>
            <w:rStyle w:val="Hyperlink"/>
          </w:rPr>
          <w:t xml:space="preserve">xsd:anyURI</w:t>
        </w:r>
      </w:hyperlink>
    </w:p>
    <w:bookmarkStart w:id="117"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16">
              <w:r>
                <w:rPr>
                  <w:rStyle w:val="Hyperlink"/>
                </w:rPr>
                <w:t xml:space="preserve">xsd:anyURI</w:t>
              </w:r>
            </w:hyperlink>
          </w:p>
        </w:tc>
      </w:tr>
    </w:tbl>
    <w:bookmarkEnd w:id="117"/>
    <w:bookmarkEnd w:id="118"/>
    <w:bookmarkStart w:id="122" w:name="typ-eidtype"/>
    <w:p>
      <w:pPr>
        <w:pStyle w:val="berschrift2"/>
      </w:pPr>
      <w:r>
        <w:t xml:space="preserve">Typ: EIdType</w:t>
      </w:r>
      <w:r>
        <w:t xml:space="preserve"> </w:t>
      </w:r>
      <w:bookmarkStart w:id="119" w:name="EIdType"/>
      <w:bookmarkEnd w:id="119"/>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120">
        <w:r>
          <w:rPr>
            <w:rStyle w:val="Hyperlink"/>
          </w:rPr>
          <w:t xml:space="preserve">xsd:string</w:t>
        </w:r>
      </w:hyperlink>
    </w:p>
    <w:bookmarkStart w:id="121"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0">
              <w:r>
                <w:rPr>
                  <w:rStyle w:val="Hyperlink"/>
                </w:rPr>
                <w:t xml:space="preserve">xsd:string</w:t>
              </w:r>
            </w:hyperlink>
          </w:p>
        </w:tc>
      </w:tr>
    </w:tbl>
    <w:bookmarkEnd w:id="121"/>
    <w:bookmarkEnd w:id="122"/>
    <w:bookmarkStart w:id="125" w:name="typ-anchorref"/>
    <w:p>
      <w:pPr>
        <w:pStyle w:val="berschrift2"/>
      </w:pPr>
      <w:r>
        <w:t xml:space="preserve">Typ: AnchorRef</w:t>
      </w:r>
      <w:r>
        <w:t xml:space="preserve"> </w:t>
      </w:r>
      <w:bookmarkStart w:id="123" w:name="AnchorRef"/>
      <w:bookmarkEnd w:id="123"/>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120">
        <w:r>
          <w:rPr>
            <w:rStyle w:val="Hyperlink"/>
          </w:rPr>
          <w:t xml:space="preserve">xsd:string</w:t>
        </w:r>
      </w:hyperlink>
    </w:p>
    <w:bookmarkStart w:id="124"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0">
              <w:r>
                <w:rPr>
                  <w:rStyle w:val="Hyperlink"/>
                </w:rPr>
                <w:t xml:space="preserve">xsd:string</w:t>
              </w:r>
            </w:hyperlink>
          </w:p>
        </w:tc>
      </w:tr>
    </w:tbl>
    <w:bookmarkEnd w:id="124"/>
    <w:p>
      <w:r>
        <w:br w:type="page"/>
      </w:r>
    </w:p>
    <w:bookmarkEnd w:id="125"/>
    <w:bookmarkEnd w:id="126"/>
    <w:bookmarkStart w:id="301"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133" w:name="klasse-act"/>
    <w:p>
      <w:pPr>
        <w:pStyle w:val="berschrift3"/>
      </w:pPr>
      <w:r>
        <w:t xml:space="preserve">Klasse: Act</w:t>
      </w:r>
      <w:r>
        <w:t xml:space="preserve"> </w:t>
      </w:r>
      <w:bookmarkStart w:id="127" w:name="Act"/>
      <w:bookmarkEnd w:id="127"/>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128"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hyperlink w:anchor="ActTypeEnum">
              <w:r>
                <w:rPr>
                  <w:rStyle w:val="Hyperlink"/>
                </w:rPr>
                <w:t xml:space="preserve">ActTypeEnum</w:t>
              </w:r>
            </w:hyperlink>
          </w:p>
        </w:tc>
        <w:tc>
          <w:tcPr>
            <w:shd w:val="clear" w:color="auto" w:fill="F2F2F2"/>
          </w:tcPr>
          <w:p>
            <w:pPr>
              <w:pStyle w:val="Compact"/>
            </w:pPr>
            <w:r>
              <w:t xml:space="preserve">Erlasstyp (</w:t>
            </w:r>
            <w:r>
              <w:t xml:space="preserve">@name-Attribut</w:t>
            </w:r>
            <w:r>
              <w:t xml:space="preserve"> </w:t>
            </w:r>
            <w:r>
              <w:t xml:space="preserve">von akn:act), z.B.</w:t>
            </w:r>
            <w:r>
              <w:t xml:space="preserve"> </w:t>
            </w:r>
            <w:r>
              <w:t xml:space="preserve">‘publicLaw’</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r>
        <w:tc>
          <w:tcPr/>
          <w:p>
            <w:pPr>
              <w:pStyle w:val="Compact"/>
            </w:pPr>
            <w:r>
              <w:t xml:space="preserve">components_ref</w:t>
            </w:r>
          </w:p>
        </w:tc>
        <w:tc>
          <w:tcPr/>
          <w:p>
            <w:pPr>
              <w:pStyle w:val="Compact"/>
            </w:pPr>
            <w:r>
              <w:t xml:space="preserve">0..1</w:t>
            </w:r>
            <w:r>
              <w:t xml:space="preserve"> </w:t>
            </w:r>
            <w:r>
              <w:t xml:space="preserve"> </w:t>
            </w:r>
            <w:hyperlink w:anchor="Components">
              <w:r>
                <w:rPr>
                  <w:rStyle w:val="Hyperlink"/>
                </w:rPr>
                <w:t xml:space="preserve">Components</w:t>
              </w:r>
            </w:hyperlink>
          </w:p>
        </w:tc>
        <w:tc>
          <w:tcPr/>
          <w:p>
            <w:pPr>
              <w:pStyle w:val="Compact"/>
            </w:pPr>
            <w:r>
              <w:t xml:space="preserve">Die diesem Erlass beiliegenden Dokumente (akn:components).</w:t>
            </w:r>
          </w:p>
        </w:tc>
      </w:tr>
    </w:tbl>
    <w:bookmarkEnd w:id="128"/>
    <w:bookmarkStart w:id="129"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bl>
    <w:bookmarkEnd w:id="129"/>
    <w:bookmarkStart w:id="132" w:name="beispiele-7"/>
    <w:p>
      <w:pPr>
        <w:pStyle w:val="berschrift4"/>
      </w:pPr>
      <w:r>
        <w:t xml:space="preserve">Beispiele</w:t>
      </w:r>
    </w:p>
    <w:bookmarkStart w:id="130" w:name="beispiel-act-sr101-excerpt-1"/>
    <w:p>
      <w:pPr>
        <w:pStyle w:val="berschrift5"/>
      </w:pPr>
      <w:r>
        <w:t xml:space="preserve">Beispiel Act: sr101 excerpt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constitution</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der Schweizerischen Eidgenossenschaft</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Titel: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w:t>
      </w:r>
      <w:r>
        <w:br/>
      </w:r>
      <w:r>
        <w:rPr>
          <w:rStyle w:val="NormalTok"/>
        </w:rPr>
        <w:t xml:space="preserve">                  Obwalden und Nidwalden, Glarus, Zug, Freiburg, Solothurn, Basel-Stadt</w:t>
      </w:r>
      <w:r>
        <w:br/>
      </w:r>
      <w:r>
        <w:rPr>
          <w:rStyle w:val="NormalTok"/>
        </w:rPr>
        <w:t xml:space="preserve">                  und Basel-Landschaft, Schaffhausen, Appenzell Ausserrhoden und Appenzell</w:t>
      </w:r>
      <w:r>
        <w:br/>
      </w:r>
      <w:r>
        <w:rPr>
          <w:rStyle w:val="NormalTok"/>
        </w:rPr>
        <w:t xml:space="preserve">                  Innerrhoden, St. Gallen, Graubünden, Aargau, Thurgau, Tessin, Waadt,</w:t>
      </w:r>
      <w:r>
        <w:br/>
      </w:r>
      <w:r>
        <w:rPr>
          <w:rStyle w:val="NormalTok"/>
        </w:rPr>
        <w:t xml:space="preserve">                  Wallis, Neuenburg, Genf und Jura bilden die Schweizerische Eidgenossenschaft.</w:t>
      </w:r>
    </w:p>
    <w:bookmarkEnd w:id="130"/>
    <w:bookmarkStart w:id="131" w:name="beispiel-act-bgoe-excerpt-1"/>
    <w:p>
      <w:pPr>
        <w:pStyle w:val="berschrift5"/>
      </w:pPr>
      <w:r>
        <w:t xml:space="preserve">Beispiel Act: bgoe excerpt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w:t>
      </w:r>
      <w:r>
        <w:br/>
      </w:r>
      <w:r>
        <w:rPr>
          <w:rStyle w:val="NormalTok"/>
        </w:rPr>
        <w:t xml:space="preserve">            Verwaltung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über das Öffentlichkeitsprinzip der Verwaltung</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Zweck und Gegenstand</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Dieses Gesetz soll die Transparenz über den Auftrag, die Organisation</w:t>
      </w:r>
      <w:r>
        <w:br/>
      </w:r>
      <w:r>
        <w:rPr>
          <w:rStyle w:val="NormalTok"/>
        </w:rPr>
        <w:t xml:space="preserve">                und die Tätigkeit der Verwaltung fördern. Zu diesem Zweck trägt es</w:t>
      </w:r>
      <w:r>
        <w:br/>
      </w:r>
      <w:r>
        <w:rPr>
          <w:rStyle w:val="NormalTok"/>
        </w:rPr>
        <w:t xml:space="preserve">                zur Information der Öffentlichkeit bei, indem es den Zugang zu amtlichen</w:t>
      </w:r>
      <w:r>
        <w:br/>
      </w:r>
      <w:r>
        <w:rPr>
          <w:rStyle w:val="NormalTok"/>
        </w:rPr>
        <w:t xml:space="preserve">                Dokumenten gewährleistet.</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Persönlicher Geltungsbereich</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block_lists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art_2/para_1/lst</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art_2/para_1/listintro</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Dieses Gesetz gilt für:'</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Bundesverwaltung;</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Organisationen und Personen des öffentlichen oder privaten Rechts,</w:t>
      </w:r>
      <w:r>
        <w:br/>
      </w:r>
      <w:r>
        <w:rPr>
          <w:rStyle w:val="NormalTok"/>
        </w:rPr>
        <w:t xml:space="preserve">                    die nicht der Bundesverwaltung angehören, soweit sie Erlasse oder</w:t>
      </w:r>
      <w:r>
        <w:br/>
      </w:r>
      <w:r>
        <w:rPr>
          <w:rStyle w:val="NormalTok"/>
        </w:rPr>
        <w:t xml:space="preserve">                    erstinstanzliche Verfügungen im Sinne von Artikel 5 des Bundesgesetzes</w:t>
      </w:r>
      <w:r>
        <w:br/>
      </w:r>
      <w:r>
        <w:rPr>
          <w:rStyle w:val="NormalTok"/>
        </w:rPr>
        <w:t xml:space="preserve">                    vom 20. Dezember 1968 über das Verwaltungsverfahren erlassen;</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container_name</w:t>
      </w:r>
      <w:r>
        <w:rPr>
          <w:rStyle w:val="KeywordTok"/>
        </w:rPr>
        <w:t xml:space="preserve">:</w:t>
      </w:r>
      <w:r>
        <w:rPr>
          <w:rStyle w:val="AttributeTok"/>
        </w:rPr>
        <w:t xml:space="preserve"> headerOfAnnex</w:t>
      </w:r>
      <w:r>
        <w:br/>
      </w:r>
      <w:r>
        <w:rPr>
          <w:rStyle w:val="AttributeTok"/>
        </w:rPr>
        <w:t xml:space="preserve">            </w:t>
      </w:r>
      <w:r>
        <w:rPr>
          <w:rStyle w:val="FunctionTok"/>
        </w:rPr>
        <w:t xml:space="preserve">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block_name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Anhang</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22)</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annex_u1/lvl_u1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Änderung bisherigen Rechts</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'Die nachstehenden Gesetze werden wie folgt geändert:'</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Änderungen können unter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Ref</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https://fedlex.data.admin.ch/eli/oc/2006/355</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AS</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'2006'</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'2319'</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konsultiert werden.</w:t>
      </w:r>
    </w:p>
    <w:bookmarkEnd w:id="131"/>
    <w:bookmarkEnd w:id="132"/>
    <w:bookmarkEnd w:id="133"/>
    <w:bookmarkStart w:id="137" w:name="enum-acttypeenum"/>
    <w:p>
      <w:pPr>
        <w:pStyle w:val="berschrift3"/>
      </w:pPr>
      <w:r>
        <w:t xml:space="preserve">Enum: ActTypeEnum</w:t>
      </w:r>
      <w:r>
        <w:t xml:space="preserve"> </w:t>
      </w:r>
      <w:bookmarkStart w:id="134" w:name="ActTypeEnum"/>
      <w:bookmarkEnd w:id="134"/>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135">
        <w:r>
          <w:rPr>
            <w:rStyle w:val="Hyperlink"/>
          </w:rPr>
          <w:t xml:space="preserve">laws:ActTypeEnum</w:t>
        </w:r>
      </w:hyperlink>
    </w:p>
    <w:bookmarkStart w:id="136"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136"/>
    <w:bookmarkEnd w:id="137"/>
    <w:bookmarkStart w:id="159" w:name="vorspann-und-präambel"/>
    <w:p>
      <w:pPr>
        <w:pStyle w:val="berschrift2"/>
      </w:pPr>
      <w:r>
        <w:t xml:space="preserve">Vorspann und Präambel</w:t>
      </w:r>
    </w:p>
    <w:bookmarkStart w:id="144" w:name="klasse-preface"/>
    <w:p>
      <w:pPr>
        <w:pStyle w:val="berschrift3"/>
      </w:pPr>
      <w:r>
        <w:t xml:space="preserve">Klasse: Preface</w:t>
      </w:r>
      <w:r>
        <w:t xml:space="preserve"> </w:t>
      </w:r>
      <w:bookmarkStart w:id="138" w:name="Preface"/>
      <w:bookmarkEnd w:id="138"/>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39"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r>
        <w:tc>
          <w:tcPr/>
          <w:p>
            <w:pPr>
              <w:pStyle w:val="Compact"/>
            </w:pPr>
            <w:r>
              <w:t xml:space="preserve">containers</w:t>
            </w:r>
          </w:p>
        </w:tc>
        <w:tc>
          <w:tcPr/>
          <w:p>
            <w:pPr>
              <w:pStyle w:val="Compact"/>
            </w:pPr>
            <w:r>
              <w:t xml:space="preserve">*</w:t>
            </w:r>
            <w:r>
              <w:t xml:space="preserve"> </w:t>
            </w:r>
            <w:r>
              <w:t xml:space="preserve"> </w:t>
            </w:r>
            <w:hyperlink w:anchor="Container">
              <w:r>
                <w:rPr>
                  <w:rStyle w:val="Hyperlink"/>
                </w:rPr>
                <w:t xml:space="preserve">Container</w:t>
              </w:r>
            </w:hyperlink>
          </w:p>
        </w:tc>
        <w:tc>
          <w:tcPr/>
          <w:p>
            <w:pPr>
              <w:pStyle w:val="Compact"/>
            </w:pPr>
            <w:r>
              <w:t xml:space="preserve">Behälter des Vorspanns (akn:container).</w:t>
            </w:r>
          </w:p>
        </w:tc>
      </w:tr>
    </w:tbl>
    <w:bookmarkEnd w:id="139"/>
    <w:bookmarkStart w:id="140"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r>
        <w:tc>
          <w:tcPr/>
          <w:p>
            <w:pPr>
              <w:pStyle w:val="Compact"/>
            </w:pPr>
            <w:hyperlink w:anchor="Doc">
              <w:r>
                <w:rPr>
                  <w:rStyle w:val="Hyperlink"/>
                </w:rPr>
                <w:t xml:space="preserve">Doc</w:t>
              </w:r>
            </w:hyperlink>
          </w:p>
        </w:tc>
        <w:tc>
          <w:tcPr/>
          <w:p>
            <w:pPr>
              <w:pStyle w:val="Compact"/>
            </w:pPr>
            <w:r>
              <w:t xml:space="preserve">preface_ref</w:t>
            </w:r>
          </w:p>
        </w:tc>
        <w:tc>
          <w:tcPr/>
          <w:p>
            <w:pPr>
              <w:pStyle w:val="Compact"/>
            </w:pPr>
            <w:r>
              <w:t xml:space="preserve">range</w:t>
            </w:r>
          </w:p>
        </w:tc>
        <w:tc>
          <w:tcPr/>
          <w:p>
            <w:pPr>
              <w:pStyle w:val="Compact"/>
            </w:pPr>
            <w:hyperlink w:anchor="Preface">
              <w:r>
                <w:rPr>
                  <w:rStyle w:val="Hyperlink"/>
                </w:rPr>
                <w:t xml:space="preserve">Preface</w:t>
              </w:r>
            </w:hyperlink>
          </w:p>
        </w:tc>
      </w:tr>
    </w:tbl>
    <w:bookmarkEnd w:id="140"/>
    <w:bookmarkStart w:id="143" w:name="beispiele-8"/>
    <w:p>
      <w:pPr>
        <w:pStyle w:val="berschrift4"/>
      </w:pPr>
      <w:r>
        <w:t xml:space="preserve">Beispiele</w:t>
      </w:r>
    </w:p>
    <w:bookmarkStart w:id="141" w:name="beispiel-preface-sr101-excerpt-1-1"/>
    <w:p>
      <w:pPr>
        <w:pStyle w:val="berschrift5"/>
      </w:pPr>
      <w:r>
        <w:t xml:space="preserve">Beispiel Preface: sr101 excerpt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der Schweizerischen Eidgenossenschaft</w:t>
      </w:r>
    </w:p>
    <w:bookmarkEnd w:id="141"/>
    <w:bookmarkStart w:id="142" w:name="beispiel-preface-bgoe-excerpt-1-1"/>
    <w:p>
      <w:pPr>
        <w:pStyle w:val="berschrift5"/>
      </w:pPr>
      <w:r>
        <w:t xml:space="preserve">Beispiel Preface: bgoe excerpt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über das Öffentlichkeitsprinzip der Verwaltung</w:t>
      </w:r>
    </w:p>
    <w:bookmarkEnd w:id="142"/>
    <w:bookmarkEnd w:id="143"/>
    <w:bookmarkEnd w:id="144"/>
    <w:bookmarkStart w:id="154" w:name="klasse-prefacep"/>
    <w:p>
      <w:pPr>
        <w:pStyle w:val="berschrift3"/>
      </w:pPr>
      <w:r>
        <w:t xml:space="preserve">Klasse: PrefaceP</w:t>
      </w:r>
      <w:r>
        <w:t xml:space="preserve"> </w:t>
      </w:r>
      <w:bookmarkStart w:id="145" w:name="PrefaceP"/>
      <w:bookmarkEnd w:id="145"/>
    </w:p>
    <w:p>
      <w:pPr>
        <w:pStyle w:val="FirstParagraph"/>
      </w:pPr>
      <w:r>
        <w:rPr>
          <w:i/>
          <w:iCs/>
        </w:rPr>
        <w:t xml:space="preserve">Ein Vorspann-Absatz (akn:p), der Dokumentnummer und/oder -titel umschliesst. Fedlex verlangt akn:docNumber und akn:docTitle innerhalb eines akn:p des Vorspanns (FLX-PF-001/002).</w:t>
      </w:r>
    </w:p>
    <w:bookmarkStart w:id="147"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Dokumentnummer im Vorspann (akn:docNumber). Pflicht gemäss FLX-PF-001. Typischerweise die SR-Nummer, z.B.</w:t>
            </w:r>
            <w:r>
              <w:t xml:space="preserve"> </w:t>
            </w:r>
            <w:r>
              <w:t xml:space="preserve">‘101’</w:t>
            </w:r>
            <w:r>
              <w:t xml:space="preserve">.</w:t>
            </w:r>
          </w:p>
        </w:tc>
      </w:tr>
      <w:tr>
        <w:tc>
          <w:tcPr/>
          <w:p>
            <w:pPr>
              <w:pStyle w:val="Compact"/>
            </w:pPr>
            <w:r>
              <w:t xml:space="preserve">doc_title</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Dokumenttitel im Vorspann (akn:docTitle). Pflicht gemäss FLX-PF-002. Kann Inline-Markup und akn:br für Zeilenumbrüche enthalten.</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Start w:id="146"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05"/>
        </w:numPr>
      </w:pPr>
      <w:r>
        <w:t xml:space="preserve">doc_number</w:t>
      </w:r>
    </w:p>
    <w:p>
      <w:pPr>
        <w:pStyle w:val="Compact"/>
        <w:numPr>
          <w:ilvl w:val="0"/>
          <w:numId w:val="1005"/>
        </w:numPr>
      </w:pPr>
      <w:r>
        <w:t xml:space="preserve">doc_title</w:t>
      </w:r>
    </w:p>
    <w:p>
      <w:pPr>
        <w:pStyle w:val="Compact"/>
        <w:numPr>
          <w:ilvl w:val="0"/>
          <w:numId w:val="1005"/>
        </w:numPr>
      </w:pPr>
      <w:r>
        <w:t xml:space="preserve">inline_content</w:t>
      </w:r>
    </w:p>
    <w:bookmarkEnd w:id="146"/>
    <w:bookmarkEnd w:id="147"/>
    <w:bookmarkStart w:id="148"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48"/>
    <w:bookmarkStart w:id="153" w:name="beispiele-9"/>
    <w:p>
      <w:pPr>
        <w:pStyle w:val="berschrift4"/>
      </w:pPr>
      <w:r>
        <w:t xml:space="preserve">Beispiele</w:t>
      </w:r>
    </w:p>
    <w:bookmarkStart w:id="149" w:name="beispiel-prefacep-sr101-excerpt-1-1"/>
    <w:p>
      <w:pPr>
        <w:pStyle w:val="berschrift5"/>
      </w:pPr>
      <w:r>
        <w:t xml:space="preserve">Beispiel PrefaceP: sr101 excerpt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p>
    <w:bookmarkEnd w:id="149"/>
    <w:bookmarkStart w:id="150" w:name="beispiel-prefacep-sr101-excerpt-1-2"/>
    <w:p>
      <w:pPr>
        <w:pStyle w:val="berschrift5"/>
      </w:pPr>
      <w:r>
        <w:t xml:space="preserve">Beispiel PrefaceP: sr101 excerpt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der Schweizerischen Eidgenossenschaft</w:t>
      </w:r>
    </w:p>
    <w:bookmarkEnd w:id="150"/>
    <w:bookmarkStart w:id="151" w:name="beispiel-prefacep-bgoe-excerpt-1-1"/>
    <w:p>
      <w:pPr>
        <w:pStyle w:val="berschrift5"/>
      </w:pPr>
      <w:r>
        <w:t xml:space="preserve">Beispiel PrefaceP: bgoe excerpt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p>
    <w:bookmarkEnd w:id="151"/>
    <w:bookmarkStart w:id="152" w:name="beispiel-prefacep-bgoe-excerpt-1-2"/>
    <w:p>
      <w:pPr>
        <w:pStyle w:val="berschrift5"/>
      </w:pPr>
      <w:r>
        <w:t xml:space="preserve">Beispiel PrefaceP: bgoe excerpt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über das Öffentlichkeitsprinzip der Verwaltung</w:t>
      </w:r>
    </w:p>
    <w:bookmarkEnd w:id="152"/>
    <w:bookmarkEnd w:id="153"/>
    <w:bookmarkEnd w:id="154"/>
    <w:bookmarkStart w:id="158" w:name="klasse-preamble"/>
    <w:p>
      <w:pPr>
        <w:pStyle w:val="berschrift3"/>
      </w:pPr>
      <w:r>
        <w:t xml:space="preserve">Klasse: Preamble</w:t>
      </w:r>
      <w:r>
        <w:t xml:space="preserve"> </w:t>
      </w:r>
      <w:bookmarkStart w:id="155" w:name="Preamble"/>
      <w:bookmarkEnd w:id="155"/>
    </w:p>
    <w:p>
      <w:pPr>
        <w:pStyle w:val="FirstParagraph"/>
      </w:pPr>
      <w:r>
        <w:rPr>
          <w:i/>
          <w:iCs/>
        </w:rPr>
        <w:t xml:space="preserve">Die Präambel des Erlasses (akn:preamble) mit einleitenden Fliesstext-Absätzen vor dem Hauptteil.</w:t>
      </w:r>
    </w:p>
    <w:bookmarkStart w:id="15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bl>
    <w:bookmarkEnd w:id="156"/>
    <w:bookmarkStart w:id="157"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57"/>
    <w:bookmarkEnd w:id="158"/>
    <w:bookmarkEnd w:id="159"/>
    <w:bookmarkStart w:id="198"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163" w:name="klasse-actbody"/>
    <w:p>
      <w:pPr>
        <w:pStyle w:val="berschrift3"/>
      </w:pPr>
      <w:r>
        <w:t xml:space="preserve">Klasse: ActBody</w:t>
      </w:r>
      <w:r>
        <w:t xml:space="preserve"> </w:t>
      </w:r>
      <w:bookmarkStart w:id="160" w:name="ActBody"/>
      <w:bookmarkEnd w:id="160"/>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161"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bl>
    <w:bookmarkEnd w:id="161"/>
    <w:bookmarkStart w:id="162"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162"/>
    <w:bookmarkEnd w:id="163"/>
    <w:bookmarkStart w:id="167" w:name="klasse-book"/>
    <w:p>
      <w:pPr>
        <w:pStyle w:val="berschrift3"/>
      </w:pPr>
      <w:r>
        <w:t xml:space="preserve">Klasse: Book</w:t>
      </w:r>
      <w:r>
        <w:t xml:space="preserve"> </w:t>
      </w:r>
      <w:bookmarkStart w:id="164" w:name="Book"/>
      <w:bookmarkEnd w:id="164"/>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165"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65"/>
    <w:bookmarkStart w:id="166"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166"/>
    <w:bookmarkEnd w:id="167"/>
    <w:bookmarkStart w:id="173" w:name="klasse-title"/>
    <w:p>
      <w:pPr>
        <w:pStyle w:val="berschrift3"/>
      </w:pPr>
      <w:r>
        <w:t xml:space="preserve">Klasse: Title</w:t>
      </w:r>
      <w:r>
        <w:t xml:space="preserve"> </w:t>
      </w:r>
      <w:bookmarkStart w:id="168" w:name="Title"/>
      <w:bookmarkEnd w:id="168"/>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169"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69"/>
    <w:bookmarkStart w:id="170"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170"/>
    <w:bookmarkStart w:id="172" w:name="beispiele-10"/>
    <w:p>
      <w:pPr>
        <w:pStyle w:val="berschrift4"/>
      </w:pPr>
      <w:r>
        <w:t xml:space="preserve">Beispiele</w:t>
      </w:r>
    </w:p>
    <w:bookmarkStart w:id="171" w:name="X357fa987aefb477cdea216547c7869811e0cfe2"/>
    <w:p>
      <w:pPr>
        <w:pStyle w:val="berschrift5"/>
      </w:pPr>
      <w:r>
        <w:t xml:space="preserve">Beispiel Title: Titel mit Nummer, Überschrift und Artikeln</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Titel: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w:t>
      </w:r>
      <w:r>
        <w:br/>
      </w:r>
      <w:r>
        <w:rPr>
          <w:rStyle w:val="NormalTok"/>
        </w:rPr>
        <w:t xml:space="preserve">              Obwalden und Nidwalden, Glarus, Zug, Freiburg, Solothurn, Basel-Stadt</w:t>
      </w:r>
      <w:r>
        <w:br/>
      </w:r>
      <w:r>
        <w:rPr>
          <w:rStyle w:val="NormalTok"/>
        </w:rPr>
        <w:t xml:space="preserve">              und Basel-Landschaft, Schaffhausen, Appenzell Ausserrhoden und Appenzell</w:t>
      </w:r>
      <w:r>
        <w:br/>
      </w:r>
      <w:r>
        <w:rPr>
          <w:rStyle w:val="NormalTok"/>
        </w:rPr>
        <w:t xml:space="preserve">              Innerrhoden, St. Gallen, Graubünden, Aargau, Thurgau, Tessin, Waadt,</w:t>
      </w:r>
      <w:r>
        <w:br/>
      </w:r>
      <w:r>
        <w:rPr>
          <w:rStyle w:val="NormalTok"/>
        </w:rPr>
        <w:t xml:space="preserve">              Wallis, Neuenburg, Genf und Jura bilden die Schweizerische Eidgenossenschaft.</w:t>
      </w:r>
    </w:p>
    <w:bookmarkEnd w:id="171"/>
    <w:bookmarkEnd w:id="172"/>
    <w:bookmarkEnd w:id="173"/>
    <w:bookmarkStart w:id="177" w:name="klasse-part"/>
    <w:p>
      <w:pPr>
        <w:pStyle w:val="berschrift3"/>
      </w:pPr>
      <w:r>
        <w:t xml:space="preserve">Klasse: Part</w:t>
      </w:r>
      <w:r>
        <w:t xml:space="preserve"> </w:t>
      </w:r>
      <w:bookmarkStart w:id="174" w:name="Part"/>
      <w:bookmarkEnd w:id="174"/>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175"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75"/>
    <w:bookmarkStart w:id="176"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176"/>
    <w:bookmarkEnd w:id="177"/>
    <w:bookmarkStart w:id="181" w:name="klasse-chapter"/>
    <w:p>
      <w:pPr>
        <w:pStyle w:val="berschrift3"/>
      </w:pPr>
      <w:r>
        <w:t xml:space="preserve">Klasse: Chapter</w:t>
      </w:r>
      <w:r>
        <w:t xml:space="preserve"> </w:t>
      </w:r>
      <w:bookmarkStart w:id="178" w:name="Chapter"/>
      <w:bookmarkEnd w:id="178"/>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179"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79"/>
    <w:bookmarkStart w:id="180"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180"/>
    <w:bookmarkEnd w:id="181"/>
    <w:bookmarkStart w:id="185" w:name="klasse-subchapter"/>
    <w:p>
      <w:pPr>
        <w:pStyle w:val="berschrift3"/>
      </w:pPr>
      <w:r>
        <w:t xml:space="preserve">Klasse: Subchapter</w:t>
      </w:r>
      <w:r>
        <w:t xml:space="preserve"> </w:t>
      </w:r>
      <w:bookmarkStart w:id="182" w:name="Subchapter"/>
      <w:bookmarkEnd w:id="182"/>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183"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83"/>
    <w:bookmarkStart w:id="184"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184"/>
    <w:bookmarkEnd w:id="185"/>
    <w:bookmarkStart w:id="189" w:name="klasse-section"/>
    <w:p>
      <w:pPr>
        <w:pStyle w:val="berschrift3"/>
      </w:pPr>
      <w:r>
        <w:t xml:space="preserve">Klasse: Section</w:t>
      </w:r>
      <w:r>
        <w:t xml:space="preserve"> </w:t>
      </w:r>
      <w:bookmarkStart w:id="186" w:name="Section"/>
      <w:bookmarkEnd w:id="186"/>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187"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87"/>
    <w:bookmarkStart w:id="188"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188"/>
    <w:bookmarkEnd w:id="189"/>
    <w:bookmarkStart w:id="193" w:name="klasse-subsection"/>
    <w:p>
      <w:pPr>
        <w:pStyle w:val="berschrift3"/>
      </w:pPr>
      <w:r>
        <w:t xml:space="preserve">Klasse: Subsection</w:t>
      </w:r>
      <w:r>
        <w:t xml:space="preserve"> </w:t>
      </w:r>
      <w:bookmarkStart w:id="190" w:name="Subsection"/>
      <w:bookmarkEnd w:id="190"/>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191"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91"/>
    <w:bookmarkStart w:id="192"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192"/>
    <w:bookmarkEnd w:id="193"/>
    <w:bookmarkStart w:id="197" w:name="klasse-level"/>
    <w:p>
      <w:pPr>
        <w:pStyle w:val="berschrift3"/>
      </w:pPr>
      <w:r>
        <w:t xml:space="preserve">Klasse: Level</w:t>
      </w:r>
      <w:r>
        <w:t xml:space="preserve"> </w:t>
      </w:r>
      <w:bookmarkStart w:id="194" w:name="Level"/>
      <w:bookmarkEnd w:id="194"/>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19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95"/>
    <w:bookmarkStart w:id="196"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bl>
    <w:bookmarkEnd w:id="196"/>
    <w:bookmarkEnd w:id="197"/>
    <w:bookmarkEnd w:id="198"/>
    <w:bookmarkStart w:id="225" w:name="artikel-und-absätze"/>
    <w:p>
      <w:pPr>
        <w:pStyle w:val="berschrift2"/>
      </w:pPr>
      <w:r>
        <w:t xml:space="preserve">Artikel und Absätze</w:t>
      </w:r>
    </w:p>
    <w:bookmarkStart w:id="205" w:name="klasse-article"/>
    <w:p>
      <w:pPr>
        <w:pStyle w:val="berschrift3"/>
      </w:pPr>
      <w:r>
        <w:t xml:space="preserve">Klasse: Article</w:t>
      </w:r>
      <w:r>
        <w:t xml:space="preserve"> </w:t>
      </w:r>
      <w:bookmarkStart w:id="199" w:name="Article"/>
      <w:bookmarkEnd w:id="199"/>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20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200"/>
    <w:bookmarkStart w:id="201" w:name="verwendungen-2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201"/>
    <w:bookmarkStart w:id="204" w:name="beispiele-11"/>
    <w:p>
      <w:pPr>
        <w:pStyle w:val="berschrift4"/>
      </w:pPr>
      <w:r>
        <w:t xml:space="preserve">Beispiele</w:t>
      </w:r>
    </w:p>
    <w:bookmarkStart w:id="202" w:name="Xacd7602e878522376e9be9796d8e116068f8e3a"/>
    <w:p>
      <w:pPr>
        <w:pStyle w:val="berschrift5"/>
      </w:pPr>
      <w:r>
        <w:t xml:space="preserve">Beispiel Article: Artikel mit fett ausgezeichneter Nummer</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 Obwalden</w:t>
      </w:r>
      <w:r>
        <w:br/>
      </w:r>
      <w:r>
        <w:rPr>
          <w:rStyle w:val="NormalTok"/>
        </w:rPr>
        <w:t xml:space="preserve">            und Nidwalden, Glarus, Zug, Freiburg, Solothurn, Basel-Stadt und Basel-Landschaft,</w:t>
      </w:r>
      <w:r>
        <w:br/>
      </w:r>
      <w:r>
        <w:rPr>
          <w:rStyle w:val="NormalTok"/>
        </w:rPr>
        <w:t xml:space="preserve">            Schaffhausen, Appenzell Ausserrhoden und Appenzell Innerrhoden, St. Gallen,</w:t>
      </w:r>
      <w:r>
        <w:br/>
      </w:r>
      <w:r>
        <w:rPr>
          <w:rStyle w:val="NormalTok"/>
        </w:rPr>
        <w:t xml:space="preserve">            Graubünden, Aargau, Thurgau, Tessin, Waadt, Wallis, Neuenburg, Genf und</w:t>
      </w:r>
      <w:r>
        <w:br/>
      </w:r>
      <w:r>
        <w:rPr>
          <w:rStyle w:val="NormalTok"/>
        </w:rPr>
        <w:t xml:space="preserve">            Jura bilden die Schweizerische Eidgenossenschaft.</w:t>
      </w:r>
    </w:p>
    <w:bookmarkEnd w:id="202"/>
    <w:bookmarkStart w:id="203" w:name="X6c710df4c6517c1bd32d0ec4d2b254cb3908c0b"/>
    <w:p>
      <w:pPr>
        <w:pStyle w:val="berschrift5"/>
      </w:pPr>
      <w:r>
        <w:t xml:space="preserve">Beispiel Article: Article with numbered paragraphs</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Persönlicher Geltungsbereich</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block_lists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art_2/para_1/lst</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art_2/para_1/listintro</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Dieses Gesetz gilt für:'</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Bundesverwaltung;</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Organisationen und Personen des öffentlichen oder privaten Rechts,</w:t>
      </w:r>
      <w:r>
        <w:br/>
      </w:r>
      <w:r>
        <w:rPr>
          <w:rStyle w:val="NormalTok"/>
        </w:rPr>
        <w:t xml:space="preserve">                die nicht der Bundesverwaltung angehören, soweit sie Erlasse oder</w:t>
      </w:r>
      <w:r>
        <w:br/>
      </w:r>
      <w:r>
        <w:rPr>
          <w:rStyle w:val="NormalTok"/>
        </w:rPr>
        <w:t xml:space="preserve">                erstinstanzliche Verfügungen im Sinne von Artikel 5 des Bundesgesetzes</w:t>
      </w:r>
      <w:r>
        <w:br/>
      </w:r>
      <w:r>
        <w:rPr>
          <w:rStyle w:val="NormalTok"/>
        </w:rPr>
        <w:t xml:space="preserve">                vom 20. Dezember 1968 über das Verwaltungsverfahren erlassen;</w:t>
      </w:r>
    </w:p>
    <w:bookmarkEnd w:id="203"/>
    <w:bookmarkEnd w:id="204"/>
    <w:bookmarkEnd w:id="205"/>
    <w:bookmarkStart w:id="209" w:name="klasse-subdivision"/>
    <w:p>
      <w:pPr>
        <w:pStyle w:val="berschrift3"/>
      </w:pPr>
      <w:r>
        <w:t xml:space="preserve">Klasse: Subdivision</w:t>
      </w:r>
      <w:r>
        <w:t xml:space="preserve"> </w:t>
      </w:r>
      <w:bookmarkStart w:id="206" w:name="Subdivision"/>
      <w:bookmarkEnd w:id="206"/>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207"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207"/>
    <w:bookmarkStart w:id="208"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208"/>
    <w:bookmarkEnd w:id="209"/>
    <w:bookmarkStart w:id="216" w:name="klasse-paragraph"/>
    <w:p>
      <w:pPr>
        <w:pStyle w:val="berschrift3"/>
      </w:pPr>
      <w:r>
        <w:t xml:space="preserve">Klasse: Paragraph</w:t>
      </w:r>
      <w:r>
        <w:t xml:space="preserve"> </w:t>
      </w:r>
      <w:bookmarkStart w:id="210" w:name="Paragraph"/>
      <w:bookmarkEnd w:id="210"/>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211"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211"/>
    <w:bookmarkStart w:id="212" w:name="verwendungen-2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212"/>
    <w:bookmarkStart w:id="215" w:name="beispiele-12"/>
    <w:p>
      <w:pPr>
        <w:pStyle w:val="berschrift4"/>
      </w:pPr>
      <w:r>
        <w:t xml:space="preserve">Beispiele</w:t>
      </w:r>
    </w:p>
    <w:bookmarkStart w:id="213" w:name="Xf971cfb012dd39e1a44bc98d719375e9ef673b5"/>
    <w:p>
      <w:pPr>
        <w:pStyle w:val="berschrift5"/>
      </w:pPr>
      <w:r>
        <w:t xml:space="preserve">Beispiel Paragraph: Absatz mit Aufzählung statt Fliesstext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block_lists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art_2/para_1/lst</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art_2/para_1/listintro</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Dieses Gesetz gilt für:'</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Bundesverwaltung;</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Organisationen und Personen des öffentlichen oder privaten Rechts, die</w:t>
      </w:r>
      <w:r>
        <w:br/>
      </w:r>
      <w:r>
        <w:rPr>
          <w:rStyle w:val="NormalTok"/>
        </w:rPr>
        <w:t xml:space="preserve">              nicht der Bundesverwaltung angehören, soweit sie Erlasse oder erstinstanzliche</w:t>
      </w:r>
      <w:r>
        <w:br/>
      </w:r>
      <w:r>
        <w:rPr>
          <w:rStyle w:val="NormalTok"/>
        </w:rPr>
        <w:t xml:space="preserve">              Verfügungen im Sinne von Artikel 5 des Bundesgesetzes vom 20. Dezember</w:t>
      </w:r>
      <w:r>
        <w:br/>
      </w:r>
      <w:r>
        <w:rPr>
          <w:rStyle w:val="NormalTok"/>
        </w:rPr>
        <w:t xml:space="preserve">              1968 über das Verwaltungsverfahren erlassen;</w:t>
      </w:r>
    </w:p>
    <w:bookmarkEnd w:id="213"/>
    <w:bookmarkStart w:id="214" w:name="X7bf6d2afef17241ff49e39e66ad3fed4aad8a7f"/>
    <w:p>
      <w:pPr>
        <w:pStyle w:val="berschrift5"/>
      </w:pPr>
      <w:r>
        <w:t xml:space="preserve">Beispiel Paragraph: Paragraph with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 Obwalden</w:t>
      </w:r>
      <w:r>
        <w:br/>
      </w:r>
      <w:r>
        <w:rPr>
          <w:rStyle w:val="NormalTok"/>
        </w:rPr>
        <w:t xml:space="preserve">          und Nidwalden, Glarus, Zug, Freiburg, Solothurn, Basel-Stadt und Basel-Landschaft,</w:t>
      </w:r>
      <w:r>
        <w:br/>
      </w:r>
      <w:r>
        <w:rPr>
          <w:rStyle w:val="NormalTok"/>
        </w:rPr>
        <w:t xml:space="preserve">          Schaffhausen, Appenzell Ausserrhoden und Appenzell Innerrhoden, St. Gallen,</w:t>
      </w:r>
      <w:r>
        <w:br/>
      </w:r>
      <w:r>
        <w:rPr>
          <w:rStyle w:val="NormalTok"/>
        </w:rPr>
        <w:t xml:space="preserve">          Graubünden, Aargau, Thurgau, Tessin, Waadt, Wallis, Neuenburg, Genf und</w:t>
      </w:r>
      <w:r>
        <w:br/>
      </w:r>
      <w:r>
        <w:rPr>
          <w:rStyle w:val="NormalTok"/>
        </w:rPr>
        <w:t xml:space="preserve">          Jura bilden die Schweizerische Eidgenossenschaft.</w:t>
      </w:r>
    </w:p>
    <w:bookmarkEnd w:id="214"/>
    <w:bookmarkEnd w:id="215"/>
    <w:bookmarkEnd w:id="216"/>
    <w:bookmarkStart w:id="220" w:name="klasse-transitional"/>
    <w:p>
      <w:pPr>
        <w:pStyle w:val="berschrift3"/>
      </w:pPr>
      <w:r>
        <w:t xml:space="preserve">Klasse: Transitional</w:t>
      </w:r>
      <w:r>
        <w:t xml:space="preserve"> </w:t>
      </w:r>
      <w:bookmarkStart w:id="217" w:name="Transitional"/>
      <w:bookmarkEnd w:id="217"/>
    </w:p>
    <w:p>
      <w:pPr>
        <w:pStyle w:val="FirstParagraph"/>
      </w:pPr>
      <w:r>
        <w:rPr>
          <w:i/>
          <w:iCs/>
        </w:rPr>
        <w:t xml:space="preserve">Eine Übergangsbestimmung im Hauptteil eines Erlasses (akn:transitional). Als Hauptteil-Element auf oberster Ebene erlaubt (FLX-BD-001). Struktur wie Artikel.</w:t>
      </w:r>
    </w:p>
    <w:bookmarkStart w:id="218"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218"/>
    <w:bookmarkStart w:id="219"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219"/>
    <w:bookmarkEnd w:id="220"/>
    <w:bookmarkStart w:id="224" w:name="klasse-proviso"/>
    <w:p>
      <w:pPr>
        <w:pStyle w:val="berschrift3"/>
      </w:pPr>
      <w:r>
        <w:t xml:space="preserve">Klasse: Proviso</w:t>
      </w:r>
      <w:r>
        <w:t xml:space="preserve"> </w:t>
      </w:r>
      <w:bookmarkStart w:id="221" w:name="Proviso"/>
      <w:bookmarkEnd w:id="221"/>
    </w:p>
    <w:p>
      <w:pPr>
        <w:pStyle w:val="FirstParagraph"/>
      </w:pPr>
      <w:r>
        <w:rPr>
          <w:i/>
          <w:iCs/>
        </w:rPr>
        <w:t xml:space="preserve">Ein Vorbehalt im Hauptteil eines Erlasses (akn:proviso). Als Hauptteil-Element auf oberster Ebene erlaubt (FLX-BD-001). Erscheint typischerweise nach den Hauptartikeln.</w:t>
      </w:r>
    </w:p>
    <w:bookmarkStart w:id="222"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222"/>
    <w:bookmarkStart w:id="223"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223"/>
    <w:bookmarkEnd w:id="224"/>
    <w:bookmarkEnd w:id="225"/>
    <w:bookmarkStart w:id="260" w:name="blockinhalte"/>
    <w:p>
      <w:pPr>
        <w:pStyle w:val="berschrift2"/>
      </w:pPr>
      <w:r>
        <w:t xml:space="preserve">Blockinhalte</w:t>
      </w:r>
    </w:p>
    <w:p>
      <w:pPr>
        <w:pStyle w:val="FirstParagraph"/>
      </w:pPr>
      <w:r>
        <w:t xml:space="preserve">Auf der untersten Ebene stehen die Inhaltsblöcke: Absätze, Listen und Tabellen.</w:t>
      </w:r>
    </w:p>
    <w:bookmarkStart w:id="232" w:name="klasse-content"/>
    <w:p>
      <w:pPr>
        <w:pStyle w:val="berschrift3"/>
      </w:pPr>
      <w:r>
        <w:t xml:space="preserve">Klasse: Content</w:t>
      </w:r>
      <w:r>
        <w:t xml:space="preserve"> </w:t>
      </w:r>
      <w:bookmarkStart w:id="226" w:name="Content"/>
      <w:bookmarkEnd w:id="226"/>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227"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r>
        <w:tc>
          <w:tcPr>
            <w:shd w:val="clear" w:color="auto" w:fill="F2F2F2"/>
          </w:tcPr>
          <w:p>
            <w:pPr>
              <w:pStyle w:val="Compact"/>
            </w:pPr>
            <w:r>
              <w:t xml:space="preserve">tables</w:t>
            </w:r>
          </w:p>
        </w:tc>
        <w:tc>
          <w:tcPr>
            <w:shd w:val="clear" w:color="auto" w:fill="F2F2F2"/>
          </w:tcPr>
          <w:p>
            <w:pPr>
              <w:pStyle w:val="Compact"/>
            </w:pPr>
            <w:r>
              <w:t xml:space="preserve">*</w:t>
            </w:r>
            <w:r>
              <w:t xml:space="preserve"> </w:t>
            </w:r>
            <w:r>
              <w:t xml:space="preserve"> </w:t>
            </w:r>
            <w:hyperlink w:anchor="Table">
              <w:r>
                <w:rPr>
                  <w:rStyle w:val="Hyperlink"/>
                </w:rPr>
                <w:t xml:space="preserve">Table</w:t>
              </w:r>
            </w:hyperlink>
          </w:p>
        </w:tc>
        <w:tc>
          <w:tcPr>
            <w:shd w:val="clear" w:color="auto" w:fill="F2F2F2"/>
          </w:tcPr>
          <w:p>
            <w:pPr>
              <w:pStyle w:val="Compact"/>
            </w:pPr>
            <w:r>
              <w:t xml:space="preserve">Tabellen-Elemente (akn:table) innerhalb von Content.</w:t>
            </w:r>
          </w:p>
        </w:tc>
      </w:tr>
    </w:tbl>
    <w:bookmarkEnd w:id="227"/>
    <w:bookmarkStart w:id="228" w:name="verwendungen-2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bl>
    <w:bookmarkEnd w:id="228"/>
    <w:bookmarkStart w:id="231" w:name="beispiele-13"/>
    <w:p>
      <w:pPr>
        <w:pStyle w:val="berschrift4"/>
      </w:pPr>
      <w:r>
        <w:t xml:space="preserve">Beispiele</w:t>
      </w:r>
    </w:p>
    <w:bookmarkStart w:id="229" w:name="beispiel-content-bgoe-excerpt-1-1"/>
    <w:p>
      <w:pPr>
        <w:pStyle w:val="berschrift5"/>
      </w:pPr>
      <w:r>
        <w:t xml:space="preserve">Beispiel Content: bgoe excerpt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block_lists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art_2/para_1/lst</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art_2/para_1/listintro</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Dieses Gesetz gilt für:'</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Bundesverwaltung;</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Organisationen und Personen des öffentlichen oder privaten Rechts, die</w:t>
      </w:r>
      <w:r>
        <w:br/>
      </w:r>
      <w:r>
        <w:rPr>
          <w:rStyle w:val="NormalTok"/>
        </w:rPr>
        <w:t xml:space="preserve">            nicht der Bundesverwaltung angehören, soweit sie Erlasse oder erstinstanzliche</w:t>
      </w:r>
      <w:r>
        <w:br/>
      </w:r>
      <w:r>
        <w:rPr>
          <w:rStyle w:val="NormalTok"/>
        </w:rPr>
        <w:t xml:space="preserve">            Verfügungen im Sinne von Artikel 5 des Bundesgesetzes vom 20. Dezember</w:t>
      </w:r>
      <w:r>
        <w:br/>
      </w:r>
      <w:r>
        <w:rPr>
          <w:rStyle w:val="NormalTok"/>
        </w:rPr>
        <w:t xml:space="preserve">            1968 über das Verwaltungsverfahren erlassen;</w:t>
      </w:r>
    </w:p>
    <w:bookmarkEnd w:id="229"/>
    <w:bookmarkStart w:id="230" w:name="beispiel-content-sr101-excerpt-1-1"/>
    <w:p>
      <w:pPr>
        <w:pStyle w:val="berschrift5"/>
      </w:pPr>
      <w:r>
        <w:t xml:space="preserve">Beispiel Content: sr101 excerpt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 Obwalden</w:t>
      </w:r>
      <w:r>
        <w:br/>
      </w:r>
      <w:r>
        <w:rPr>
          <w:rStyle w:val="NormalTok"/>
        </w:rPr>
        <w:t xml:space="preserve">        und Nidwalden, Glarus, Zug, Freiburg, Solothurn, Basel-Stadt und Basel-Landschaft,</w:t>
      </w:r>
      <w:r>
        <w:br/>
      </w:r>
      <w:r>
        <w:rPr>
          <w:rStyle w:val="NormalTok"/>
        </w:rPr>
        <w:t xml:space="preserve">        Schaffhausen, Appenzell Ausserrhoden und Appenzell Innerrhoden, St. Gallen,</w:t>
      </w:r>
      <w:r>
        <w:br/>
      </w:r>
      <w:r>
        <w:rPr>
          <w:rStyle w:val="NormalTok"/>
        </w:rPr>
        <w:t xml:space="preserve">        Graubünden, Aargau, Thurgau, Tessin, Waadt, Wallis, Neuenburg, Genf und Jura</w:t>
      </w:r>
      <w:r>
        <w:br/>
      </w:r>
      <w:r>
        <w:rPr>
          <w:rStyle w:val="NormalTok"/>
        </w:rPr>
        <w:t xml:space="preserve">        bilden die Schweizerische Eidgenossenschaft.</w:t>
      </w:r>
    </w:p>
    <w:bookmarkEnd w:id="230"/>
    <w:bookmarkEnd w:id="231"/>
    <w:bookmarkEnd w:id="232"/>
    <w:bookmarkStart w:id="239" w:name="klasse-blockparagraph"/>
    <w:p>
      <w:pPr>
        <w:pStyle w:val="berschrift3"/>
      </w:pPr>
      <w:r>
        <w:t xml:space="preserve">Klasse: BlockParagraph</w:t>
      </w:r>
      <w:r>
        <w:t xml:space="preserve"> </w:t>
      </w:r>
      <w:bookmarkStart w:id="233" w:name="BlockParagraph"/>
      <w:bookmarkEnd w:id="233"/>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234"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End w:id="234"/>
    <w:bookmarkStart w:id="235" w:name="verwendungen-2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Content">
              <w:r>
                <w:rPr>
                  <w:rStyle w:val="Hyperlink"/>
                </w:rPr>
                <w:t xml:space="preserve">Content</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TableCell">
              <w:r>
                <w:rPr>
                  <w:rStyle w:val="Hyperlink"/>
                </w:rPr>
                <w:t xml:space="preserve">TableCell</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MainBody">
              <w:r>
                <w:rPr>
                  <w:rStyle w:val="Hyperlink"/>
                </w:rPr>
                <w:t xml:space="preserve">MainBody</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bl>
    <w:bookmarkEnd w:id="235"/>
    <w:bookmarkStart w:id="238" w:name="beispiele-14"/>
    <w:p>
      <w:pPr>
        <w:pStyle w:val="berschrift4"/>
      </w:pPr>
      <w:r>
        <w:t xml:space="preserve">Beispiele</w:t>
      </w:r>
    </w:p>
    <w:bookmarkStart w:id="236" w:name="beispiel-blockparagraph-bgoe-excerpt-1-1"/>
    <w:p>
      <w:pPr>
        <w:pStyle w:val="berschrift5"/>
      </w:pPr>
      <w:r>
        <w:t xml:space="preserve">Beispiel BlockParagraph: bgoe excerpt 1 1</w:t>
      </w:r>
    </w:p>
    <w:p>
      <w:pPr>
        <w:pStyle w:val="SourceCode"/>
      </w:pPr>
      <w:r>
        <w:rPr>
          <w:rStyle w:val="FunctionTok"/>
        </w:rPr>
        <w:t xml:space="preserve">block_paragraphs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Dieses Gesetz soll die Transparenz über den Auftrag, die Organisation und die</w:t>
      </w:r>
      <w:r>
        <w:br/>
      </w:r>
      <w:r>
        <w:rPr>
          <w:rStyle w:val="NormalTok"/>
        </w:rPr>
        <w:t xml:space="preserve">      Tätigkeit der Verwaltung fördern. Zu diesem Zweck trägt es zur Information der</w:t>
      </w:r>
      <w:r>
        <w:br/>
      </w:r>
      <w:r>
        <w:rPr>
          <w:rStyle w:val="NormalTok"/>
        </w:rPr>
        <w:t xml:space="preserve">      Öffentlichkeit bei, indem es den Zugang zu amtlichen Dokumenten gewährleistet.</w:t>
      </w:r>
    </w:p>
    <w:bookmarkEnd w:id="236"/>
    <w:bookmarkStart w:id="237" w:name="X1cf3e673e48d4080cbf9662d9dc22f8332b4471"/>
    <w:p>
      <w:pPr>
        <w:pStyle w:val="berschrift5"/>
      </w:pPr>
      <w:r>
        <w:t xml:space="preserve">Beispiel BlockParagraph: sr101 excerpt 1 1</w:t>
      </w:r>
    </w:p>
    <w:p>
      <w:pPr>
        <w:pStyle w:val="SourceCode"/>
      </w:pPr>
      <w:r>
        <w:rPr>
          <w:rStyle w:val="FunctionTok"/>
        </w:rPr>
        <w:t xml:space="preserve">block_paragraphs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 Obwalden</w:t>
      </w:r>
      <w:r>
        <w:br/>
      </w:r>
      <w:r>
        <w:rPr>
          <w:rStyle w:val="NormalTok"/>
        </w:rPr>
        <w:t xml:space="preserve">      und Nidwalden, Glarus, Zug, Freiburg, Solothurn, Basel-Stadt und Basel-Landschaft,</w:t>
      </w:r>
      <w:r>
        <w:br/>
      </w:r>
      <w:r>
        <w:rPr>
          <w:rStyle w:val="NormalTok"/>
        </w:rPr>
        <w:t xml:space="preserve">      Schaffhausen, Appenzell Ausserrhoden und Appenzell Innerrhoden, St. Gallen,</w:t>
      </w:r>
      <w:r>
        <w:br/>
      </w:r>
      <w:r>
        <w:rPr>
          <w:rStyle w:val="NormalTok"/>
        </w:rPr>
        <w:t xml:space="preserve">      Graubünden, Aargau, Thurgau, Tessin, Waadt, Wallis, Neuenburg, Genf und Jura</w:t>
      </w:r>
      <w:r>
        <w:br/>
      </w:r>
      <w:r>
        <w:rPr>
          <w:rStyle w:val="NormalTok"/>
        </w:rPr>
        <w:t xml:space="preserve">      bilden die Schweizerische Eidgenossenschaft.</w:t>
      </w:r>
    </w:p>
    <w:bookmarkEnd w:id="237"/>
    <w:bookmarkEnd w:id="238"/>
    <w:bookmarkEnd w:id="239"/>
    <w:bookmarkStart w:id="243" w:name="klasse-blocklist"/>
    <w:p>
      <w:pPr>
        <w:pStyle w:val="berschrift3"/>
      </w:pPr>
      <w:r>
        <w:t xml:space="preserve">Klasse: BlockList</w:t>
      </w:r>
      <w:r>
        <w:t xml:space="preserve"> </w:t>
      </w:r>
      <w:bookmarkStart w:id="240" w:name="BlockList"/>
      <w:bookmarkEnd w:id="240"/>
    </w:p>
    <w:p>
      <w:pPr>
        <w:pStyle w:val="FirstParagraph"/>
      </w:pPr>
      <w:r>
        <w:rPr>
          <w:i/>
          <w:iCs/>
        </w:rPr>
        <w:t xml:space="preserve">Eine Auflistung von nummerierten oder buchstabierten Punkten (akn:blockList), optional eingeleitet durch ein akn:listIntroduction-Element.</w:t>
      </w:r>
    </w:p>
    <w:bookmarkStart w:id="241"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bl>
    <w:bookmarkEnd w:id="241"/>
    <w:bookmarkStart w:id="242"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r>
        <w:tc>
          <w:tcPr/>
          <w:p>
            <w:pPr>
              <w:pStyle w:val="Compact"/>
            </w:pPr>
            <w:hyperlink w:anchor="BlockListItem">
              <w:r>
                <w:rPr>
                  <w:rStyle w:val="Hyperlink"/>
                </w:rPr>
                <w:t xml:space="preserve">BlockListItem</w:t>
              </w:r>
            </w:hyperlink>
          </w:p>
        </w:tc>
        <w:tc>
          <w:tcPr/>
          <w:p>
            <w:pPr>
              <w:pStyle w:val="Compact"/>
            </w:pPr>
            <w:r>
              <w:t xml:space="preserve">block_lists</w:t>
            </w:r>
          </w:p>
        </w:tc>
        <w:tc>
          <w:tcPr/>
          <w:p>
            <w:pPr>
              <w:pStyle w:val="Compact"/>
            </w:pPr>
            <w:r>
              <w:t xml:space="preserve">range</w:t>
            </w:r>
          </w:p>
        </w:tc>
        <w:tc>
          <w:tcPr/>
          <w:p>
            <w:pPr>
              <w:pStyle w:val="Compact"/>
            </w:pPr>
            <w:hyperlink w:anchor="BlockList">
              <w:r>
                <w:rPr>
                  <w:rStyle w:val="Hyperlink"/>
                </w:rPr>
                <w:t xml:space="preserve">BlockList</w:t>
              </w:r>
            </w:hyperlink>
          </w:p>
        </w:tc>
      </w:tr>
      <w:tr>
        <w:tc>
          <w:tcPr>
            <w:shd w:val="clear" w:color="auto" w:fill="F2F2F2"/>
          </w:tcPr>
          <w:p>
            <w:pPr>
              <w:pStyle w:val="Compact"/>
            </w:pPr>
            <w:hyperlink w:anchor="TableCell">
              <w:r>
                <w:rPr>
                  <w:rStyle w:val="Hyperlink"/>
                </w:rPr>
                <w:t xml:space="preserve">TableCell</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bl>
    <w:bookmarkEnd w:id="242"/>
    <w:bookmarkEnd w:id="243"/>
    <w:bookmarkStart w:id="247" w:name="klasse-blocklistitem"/>
    <w:p>
      <w:pPr>
        <w:pStyle w:val="berschrift3"/>
      </w:pPr>
      <w:r>
        <w:t xml:space="preserve">Klasse: BlockListItem</w:t>
      </w:r>
      <w:r>
        <w:t xml:space="preserve"> </w:t>
      </w:r>
      <w:bookmarkStart w:id="244" w:name="BlockListItem"/>
      <w:bookmarkEnd w:id="244"/>
    </w:p>
    <w:p>
      <w:pPr>
        <w:pStyle w:val="FirstParagraph"/>
      </w:pPr>
      <w:r>
        <w:rPr>
          <w:i/>
          <w:iCs/>
        </w:rPr>
        <w:t xml:space="preserve">Ein einzelner Punkt in einer Auflistung (akn:item). Trägt ein num-Label und Block-Inhalt direkt: Fliesstext-Absätze (akn:p) und optional verschachtelte Listen.</w:t>
      </w:r>
    </w:p>
    <w:bookmarkStart w:id="245"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bl>
    <w:bookmarkEnd w:id="245"/>
    <w:bookmarkStart w:id="246" w:name="verwendungen-2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246"/>
    <w:bookmarkEnd w:id="247"/>
    <w:bookmarkStart w:id="251" w:name="klasse-table"/>
    <w:p>
      <w:pPr>
        <w:pStyle w:val="berschrift3"/>
      </w:pPr>
      <w:r>
        <w:t xml:space="preserve">Klasse: Table</w:t>
      </w:r>
      <w:r>
        <w:t xml:space="preserve"> </w:t>
      </w:r>
      <w:bookmarkStart w:id="248" w:name="Table"/>
      <w:bookmarkEnd w:id="248"/>
    </w:p>
    <w:p>
      <w:pPr>
        <w:pStyle w:val="FirstParagraph"/>
      </w:pPr>
      <w:r>
        <w:rPr>
          <w:i/>
          <w:iCs/>
        </w:rPr>
        <w:t xml:space="preserve">Ein Tabellen-Element innerhalb von Content (akn:table). Enthält Zeilen (akn:tr) mit Zellen (akn:td). Entspricht dem HTML-Tabellenmodell.</w:t>
      </w:r>
    </w:p>
    <w:bookmarkStart w:id="249"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bl>
    <w:bookmarkEnd w:id="249"/>
    <w:bookmarkStart w:id="250" w:name="verwendungen-2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tables</w:t>
            </w:r>
          </w:p>
        </w:tc>
        <w:tc>
          <w:tcPr>
            <w:shd w:val="clear" w:color="auto" w:fill="F2F2F2"/>
          </w:tcPr>
          <w:p>
            <w:pPr>
              <w:pStyle w:val="Compact"/>
            </w:pPr>
            <w:r>
              <w:t xml:space="preserve">range</w:t>
            </w:r>
          </w:p>
        </w:tc>
        <w:tc>
          <w:tcPr>
            <w:shd w:val="clear" w:color="auto" w:fill="F2F2F2"/>
          </w:tcPr>
          <w:p>
            <w:pPr>
              <w:pStyle w:val="Compact"/>
            </w:pPr>
            <w:hyperlink w:anchor="Table">
              <w:r>
                <w:rPr>
                  <w:rStyle w:val="Hyperlink"/>
                </w:rPr>
                <w:t xml:space="preserve">Table</w:t>
              </w:r>
            </w:hyperlink>
          </w:p>
        </w:tc>
      </w:tr>
    </w:tbl>
    <w:bookmarkEnd w:id="250"/>
    <w:bookmarkEnd w:id="251"/>
    <w:bookmarkStart w:id="255" w:name="klasse-tablerow"/>
    <w:p>
      <w:pPr>
        <w:pStyle w:val="berschrift3"/>
      </w:pPr>
      <w:r>
        <w:t xml:space="preserve">Klasse: TableRow</w:t>
      </w:r>
      <w:r>
        <w:t xml:space="preserve"> </w:t>
      </w:r>
      <w:bookmarkStart w:id="252" w:name="TableRow"/>
      <w:bookmarkEnd w:id="252"/>
    </w:p>
    <w:p>
      <w:pPr>
        <w:pStyle w:val="FirstParagraph"/>
      </w:pPr>
      <w:r>
        <w:rPr>
          <w:i/>
          <w:iCs/>
        </w:rPr>
        <w:t xml:space="preserve">Eine Zeile in einer AkomaNtoso-Tabelle (akn:tr).</w:t>
      </w:r>
    </w:p>
    <w:bookmarkStart w:id="253"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253"/>
    <w:bookmarkStart w:id="254" w:name="verwendungen-3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254"/>
    <w:bookmarkEnd w:id="255"/>
    <w:bookmarkStart w:id="259" w:name="klasse-tablecell"/>
    <w:p>
      <w:pPr>
        <w:pStyle w:val="berschrift3"/>
      </w:pPr>
      <w:r>
        <w:t xml:space="preserve">Klasse: TableCell</w:t>
      </w:r>
      <w:r>
        <w:t xml:space="preserve"> </w:t>
      </w:r>
      <w:bookmarkStart w:id="256" w:name="TableCell"/>
      <w:bookmarkEnd w:id="256"/>
    </w:p>
    <w:p>
      <w:pPr>
        <w:pStyle w:val="FirstParagraph"/>
      </w:pPr>
      <w:r>
        <w:rPr>
          <w:i/>
          <w:iCs/>
        </w:rPr>
        <w:t xml:space="preserve">Eine Zelle in einer Tabellenzeile (akn:td). Enthält Block-Inhalt: Fliesstext-Absätze (akn:p) und Auflistungen (akn:blockList).</w:t>
      </w:r>
    </w:p>
    <w:bookmarkStart w:id="257"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block_paragraphs</w:t>
            </w:r>
          </w:p>
        </w:tc>
        <w:tc>
          <w:tcPr/>
          <w:p>
            <w:pPr>
              <w:pStyle w:val="Compact"/>
            </w:pPr>
            <w:r>
              <w:t xml:space="preserve">*</w:t>
            </w:r>
            <w:r>
              <w:t xml:space="preserve"> </w:t>
            </w:r>
            <w:r>
              <w:t xml:space="preserve"> </w:t>
            </w:r>
            <w:hyperlink w:anchor="BlockParagraph">
              <w:r>
                <w:rPr>
                  <w:rStyle w:val="Hyperlink"/>
                </w:rPr>
                <w:t xml:space="preserve">BlockParagraph</w:t>
              </w:r>
            </w:hyperlink>
          </w:p>
        </w:tc>
        <w:tc>
          <w:tcPr/>
          <w:p>
            <w:pPr>
              <w:pStyle w:val="Compact"/>
            </w:pPr>
            <w:r>
              <w:t xml:space="preserve">Block-Absatz-Elemente (akn:p) innerhalb von Content.</w:t>
            </w:r>
          </w:p>
        </w:tc>
      </w:tr>
      <w:tr>
        <w:tc>
          <w:tcPr>
            <w:shd w:val="clear" w:color="auto" w:fill="F2F2F2"/>
          </w:tcPr>
          <w:p>
            <w:pPr>
              <w:pStyle w:val="Compact"/>
            </w:pPr>
            <w:r>
              <w:t xml:space="preserve">block_lists</w:t>
            </w:r>
          </w:p>
        </w:tc>
        <w:tc>
          <w:tcPr>
            <w:shd w:val="clear" w:color="auto" w:fill="F2F2F2"/>
          </w:tcPr>
          <w:p>
            <w:pPr>
              <w:pStyle w:val="Compact"/>
            </w:pPr>
            <w:r>
              <w:t xml:space="preserve">*</w:t>
            </w:r>
            <w:r>
              <w:t xml:space="preserve"> </w:t>
            </w:r>
            <w:r>
              <w:t xml:space="preserve"> </w:t>
            </w:r>
            <w:hyperlink w:anchor="BlockList">
              <w:r>
                <w:rPr>
                  <w:rStyle w:val="Hyperlink"/>
                </w:rPr>
                <w:t xml:space="preserve">BlockList</w:t>
              </w:r>
            </w:hyperlink>
          </w:p>
        </w:tc>
        <w:tc>
          <w:tcPr>
            <w:shd w:val="clear" w:color="auto" w:fill="F2F2F2"/>
          </w:tcPr>
          <w:p>
            <w:pPr>
              <w:pStyle w:val="Compact"/>
            </w:pPr>
            <w:r>
              <w:t xml:space="preserve">Auflistungs-Elemente (akn:blockList) innerhalb von Content.</w:t>
            </w:r>
          </w:p>
        </w:tc>
      </w:tr>
    </w:tbl>
    <w:bookmarkEnd w:id="257"/>
    <w:bookmarkStart w:id="258" w:name="verwendungen-3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258"/>
    <w:bookmarkEnd w:id="259"/>
    <w:bookmarkEnd w:id="260"/>
    <w:bookmarkStart w:id="300" w:name="anhänge"/>
    <w:p>
      <w:pPr>
        <w:pStyle w:val="berschrift2"/>
      </w:pPr>
      <w:r>
        <w:t xml:space="preserve">Anhänge</w:t>
      </w:r>
    </w:p>
    <w:p>
      <w:pPr>
        <w:pStyle w:val="FirstParagraph"/>
      </w:pPr>
      <w:r>
        <w:t xml:space="preserve">Ein Erlass kann Dokumente mitführen, die nicht Teil seines Artikeltextes sind — im Bundesrecht regelmässig einen Anhang. Solche Dokumente stehen in</w:t>
      </w:r>
      <w:r>
        <w:t xml:space="preserve"> </w:t>
      </w:r>
      <w:r>
        <w:rPr>
          <w:rStyle w:val="VerbatimChar"/>
        </w:rPr>
        <w:t xml:space="preserve">akn:components</w:t>
      </w:r>
      <w:r>
        <w:t xml:space="preserve"> </w:t>
      </w:r>
      <w:r>
        <w:t xml:space="preserve">und sind je ein eigenes</w:t>
      </w:r>
      <w:r>
        <w:t xml:space="preserve"> </w:t>
      </w:r>
      <w:r>
        <w:rPr>
          <w:rStyle w:val="VerbatimChar"/>
        </w:rPr>
        <w:t xml:space="preserve">akn:doc</w:t>
      </w:r>
      <w:r>
        <w:t xml:space="preserve"> </w:t>
      </w:r>
      <w:r>
        <w:t xml:space="preserve">mit eigenem Vorspann und eigenem Hauptteil. Beim Öffentlichkeitsgesetz enthält der Anhang die Änderung bisherigen Rechts, beim Datenschutzgesetz ebenso.</w:t>
      </w:r>
    </w:p>
    <w:p>
      <w:pPr>
        <w:pStyle w:val="Textkrper"/>
      </w:pPr>
      <w:r>
        <w:t xml:space="preserve">Zwei Eigenheiten sind dabei festzuhalten. Erstens wiederholt der Anhang in den Fedlex-Dateien die Identifikation des Erlasses unverändert — dieselben ELI-URIs, dieselben Daten und Namen. Er ist also nicht eigenständig identifiziert, sondern Teil desselben Werks. Zweitens nutzt sein Vorspann nicht die Absatzstruktur des Erlasses, sondern die generischen Behälter</w:t>
      </w:r>
      <w:r>
        <w:t xml:space="preserve"> </w:t>
      </w:r>
      <w:r>
        <w:rPr>
          <w:rStyle w:val="VerbatimChar"/>
        </w:rPr>
        <w:t xml:space="preserve">akn:container</w:t>
      </w:r>
      <w:r>
        <w:t xml:space="preserve"> </w:t>
      </w:r>
      <w:r>
        <w:t xml:space="preserve">und</w:t>
      </w:r>
      <w:r>
        <w:t xml:space="preserve"> </w:t>
      </w:r>
      <w:r>
        <w:rPr>
          <w:rStyle w:val="VerbatimChar"/>
        </w:rPr>
        <w:t xml:space="preserve">akn:block</w:t>
      </w:r>
      <w:r>
        <w:t xml:space="preserve">. Deren</w:t>
      </w:r>
      <w:r>
        <w:t xml:space="preserve"> </w:t>
      </w:r>
      <w:r>
        <w:rPr>
          <w:rStyle w:val="VerbatimChar"/>
        </w:rPr>
        <w:t xml:space="preserve">@name</w:t>
      </w:r>
      <w:r>
        <w:t xml:space="preserve"> </w:t>
      </w:r>
      <w:r>
        <w:t xml:space="preserve">ist in AKN frei wählbar; dieser Standard führt die Werte, die Fedlex tatsächlich verwendet, als Aufzählung:</w:t>
      </w:r>
      <w:r>
        <w:t xml:space="preserve"> </w:t>
      </w:r>
      <w:r>
        <w:rPr>
          <w:rStyle w:val="VerbatimChar"/>
        </w:rPr>
        <w:t xml:space="preserve">headerOfAnnex</w:t>
      </w:r>
      <w:r>
        <w:t xml:space="preserve"> </w:t>
      </w:r>
      <w:r>
        <w:t xml:space="preserve">für den Behälter,</w:t>
      </w:r>
      <w:r>
        <w:t xml:space="preserve"> </w:t>
      </w:r>
      <w:r>
        <w:rPr>
          <w:rStyle w:val="VerbatimChar"/>
        </w:rPr>
        <w:t xml:space="preserve">heading</w:t>
      </w:r>
      <w:r>
        <w:t xml:space="preserve"> </w:t>
      </w:r>
      <w:r>
        <w:t xml:space="preserve">und</w:t>
      </w:r>
      <w:r>
        <w:t xml:space="preserve"> </w:t>
      </w:r>
      <w:r>
        <w:rPr>
          <w:rStyle w:val="VerbatimChar"/>
        </w:rPr>
        <w:t xml:space="preserve">num</w:t>
      </w:r>
      <w:r>
        <w:t xml:space="preserve"> </w:t>
      </w:r>
      <w:r>
        <w:t xml:space="preserve">für den Block.</w:t>
      </w:r>
    </w:p>
    <w:p>
      <w:pPr>
        <w:pStyle w:val="Textkrper"/>
      </w:pPr>
      <w:r>
        <w:t xml:space="preserve">Der Hauptteil eines Anhangs (</w:t>
      </w:r>
      <w:r>
        <w:rPr>
          <w:rStyle w:val="VerbatimChar"/>
        </w:rPr>
        <w:t xml:space="preserve">akn:mainBody</w:t>
      </w:r>
      <w:r>
        <w:t xml:space="preserve">) kennt die Gesetzeshierarchie nicht. Er nimmt Absätze und Ebenen unmittelbar auf — und darin wieder dieselben Inhalts- und Auszeichnungselemente wie der Erlass selbst, bis hin zur Fussnote mit Verweis auf die Amtliche Sammlung.</w:t>
      </w:r>
    </w:p>
    <w:bookmarkStart w:id="264" w:name="klasse-components"/>
    <w:p>
      <w:pPr>
        <w:pStyle w:val="berschrift3"/>
      </w:pPr>
      <w:r>
        <w:t xml:space="preserve">Klasse: Components</w:t>
      </w:r>
      <w:r>
        <w:t xml:space="preserve"> </w:t>
      </w:r>
      <w:bookmarkStart w:id="261" w:name="Components"/>
      <w:bookmarkEnd w:id="261"/>
    </w:p>
    <w:p>
      <w:pPr>
        <w:pStyle w:val="FirstParagraph"/>
      </w:pPr>
      <w:r>
        <w:rPr>
          <w:i/>
          <w:iCs/>
        </w:rPr>
        <w:t xml:space="preserve">Behälter für die Dokumente, die einem Erlass beiliegen (akn:components) — etwa seinen Anhang.</w:t>
      </w:r>
    </w:p>
    <w:bookmarkStart w:id="262"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component_list</w:t>
            </w:r>
          </w:p>
        </w:tc>
        <w:tc>
          <w:tcPr>
            <w:shd w:val="clear" w:color="auto" w:fill="F2F2F2"/>
          </w:tcPr>
          <w:p>
            <w:pPr>
              <w:pStyle w:val="Compact"/>
            </w:pPr>
            <w:r>
              <w:t xml:space="preserve">*</w:t>
            </w:r>
            <w:r>
              <w:t xml:space="preserve"> </w:t>
            </w:r>
            <w:r>
              <w:t xml:space="preserve"> </w:t>
            </w:r>
            <w:hyperlink w:anchor="Component">
              <w:r>
                <w:rPr>
                  <w:rStyle w:val="Hyperlink"/>
                </w:rPr>
                <w:t xml:space="preserve">Component</w:t>
              </w:r>
            </w:hyperlink>
          </w:p>
        </w:tc>
        <w:tc>
          <w:tcPr>
            <w:shd w:val="clear" w:color="auto" w:fill="F2F2F2"/>
          </w:tcPr>
          <w:p>
            <w:pPr>
              <w:pStyle w:val="Compact"/>
            </w:pPr>
            <w:r>
              <w:t xml:space="preserve">Die beiliegenden Dokumente (akn:component).</w:t>
            </w:r>
          </w:p>
        </w:tc>
      </w:tr>
    </w:tbl>
    <w:bookmarkEnd w:id="262"/>
    <w:bookmarkStart w:id="263" w:name="verwendungen-3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components_ref</w:t>
            </w:r>
          </w:p>
        </w:tc>
        <w:tc>
          <w:tcPr>
            <w:shd w:val="clear" w:color="auto" w:fill="F2F2F2"/>
          </w:tcPr>
          <w:p>
            <w:pPr>
              <w:pStyle w:val="Compact"/>
            </w:pPr>
            <w:r>
              <w:t xml:space="preserve">range</w:t>
            </w:r>
          </w:p>
        </w:tc>
        <w:tc>
          <w:tcPr>
            <w:shd w:val="clear" w:color="auto" w:fill="F2F2F2"/>
          </w:tcPr>
          <w:p>
            <w:pPr>
              <w:pStyle w:val="Compact"/>
            </w:pPr>
            <w:hyperlink w:anchor="Components">
              <w:r>
                <w:rPr>
                  <w:rStyle w:val="Hyperlink"/>
                </w:rPr>
                <w:t xml:space="preserve">Components</w:t>
              </w:r>
            </w:hyperlink>
          </w:p>
        </w:tc>
      </w:tr>
    </w:tbl>
    <w:bookmarkEnd w:id="263"/>
    <w:bookmarkEnd w:id="264"/>
    <w:bookmarkStart w:id="268" w:name="klasse-component"/>
    <w:p>
      <w:pPr>
        <w:pStyle w:val="berschrift3"/>
      </w:pPr>
      <w:r>
        <w:t xml:space="preserve">Klasse: Component</w:t>
      </w:r>
      <w:r>
        <w:t xml:space="preserve"> </w:t>
      </w:r>
      <w:bookmarkStart w:id="265" w:name="Component"/>
      <w:bookmarkEnd w:id="265"/>
    </w:p>
    <w:p>
      <w:pPr>
        <w:pStyle w:val="FirstParagraph"/>
      </w:pPr>
      <w:r>
        <w:rPr>
          <w:i/>
          <w:iCs/>
        </w:rPr>
        <w:t xml:space="preserve">Ein einzelnes beiliegendes Dokument (akn:component).</w:t>
      </w:r>
    </w:p>
    <w:bookmarkStart w:id="266"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doc_ref</w:t>
            </w:r>
          </w:p>
        </w:tc>
        <w:tc>
          <w:tcPr>
            <w:shd w:val="clear" w:color="auto" w:fill="F2F2F2"/>
          </w:tcPr>
          <w:p>
            <w:pPr>
              <w:pStyle w:val="Compact"/>
            </w:pPr>
            <w:r>
              <w:t xml:space="preserve">0..1</w:t>
            </w:r>
            <w:r>
              <w:t xml:space="preserve"> </w:t>
            </w:r>
            <w:r>
              <w:t xml:space="preserve"> </w:t>
            </w:r>
            <w:hyperlink w:anchor="Doc">
              <w:r>
                <w:rPr>
                  <w:rStyle w:val="Hyperlink"/>
                </w:rPr>
                <w:t xml:space="preserve">Doc</w:t>
              </w:r>
            </w:hyperlink>
          </w:p>
        </w:tc>
        <w:tc>
          <w:tcPr>
            <w:shd w:val="clear" w:color="auto" w:fill="F2F2F2"/>
          </w:tcPr>
          <w:p>
            <w:pPr>
              <w:pStyle w:val="Compact"/>
            </w:pPr>
            <w:r>
              <w:t xml:space="preserve">Das beiliegende Dokument selbst (akn:doc).</w:t>
            </w:r>
          </w:p>
        </w:tc>
      </w:tr>
    </w:tbl>
    <w:bookmarkEnd w:id="266"/>
    <w:bookmarkStart w:id="267" w:name="verwendungen-3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s">
              <w:r>
                <w:rPr>
                  <w:rStyle w:val="Hyperlink"/>
                </w:rPr>
                <w:t xml:space="preserve">Components</w:t>
              </w:r>
            </w:hyperlink>
          </w:p>
        </w:tc>
        <w:tc>
          <w:tcPr>
            <w:shd w:val="clear" w:color="auto" w:fill="F2F2F2"/>
          </w:tcPr>
          <w:p>
            <w:pPr>
              <w:pStyle w:val="Compact"/>
            </w:pPr>
            <w:r>
              <w:t xml:space="preserve">component_list</w:t>
            </w:r>
          </w:p>
        </w:tc>
        <w:tc>
          <w:tcPr>
            <w:shd w:val="clear" w:color="auto" w:fill="F2F2F2"/>
          </w:tcPr>
          <w:p>
            <w:pPr>
              <w:pStyle w:val="Compact"/>
            </w:pPr>
            <w:r>
              <w:t xml:space="preserve">range</w:t>
            </w:r>
          </w:p>
        </w:tc>
        <w:tc>
          <w:tcPr>
            <w:shd w:val="clear" w:color="auto" w:fill="F2F2F2"/>
          </w:tcPr>
          <w:p>
            <w:pPr>
              <w:pStyle w:val="Compact"/>
            </w:pPr>
            <w:hyperlink w:anchor="Component">
              <w:r>
                <w:rPr>
                  <w:rStyle w:val="Hyperlink"/>
                </w:rPr>
                <w:t xml:space="preserve">Component</w:t>
              </w:r>
            </w:hyperlink>
          </w:p>
        </w:tc>
      </w:tr>
    </w:tbl>
    <w:bookmarkEnd w:id="267"/>
    <w:bookmarkEnd w:id="268"/>
    <w:bookmarkStart w:id="272" w:name="klasse-doc"/>
    <w:p>
      <w:pPr>
        <w:pStyle w:val="berschrift3"/>
      </w:pPr>
      <w:r>
        <w:t xml:space="preserve">Klasse: Doc</w:t>
      </w:r>
      <w:r>
        <w:t xml:space="preserve"> </w:t>
      </w:r>
      <w:bookmarkStart w:id="269" w:name="Doc"/>
      <w:bookmarkEnd w:id="269"/>
    </w:p>
    <w:p>
      <w:pPr>
        <w:pStyle w:val="FirstParagraph"/>
      </w:pPr>
      <w:r>
        <w:rPr>
          <w:i/>
          <w:iCs/>
        </w:rPr>
        <w:t xml:space="preserve">Ein beiliegendes Dokument (akn:doc). Das</w:t>
      </w:r>
      <w:r>
        <w:rPr>
          <w:i/>
          <w:iCs/>
        </w:rPr>
        <w:t xml:space="preserve"> </w:t>
      </w:r>
      <w:r>
        <w:rPr>
          <w:i/>
          <w:iCs/>
        </w:rPr>
        <w:t xml:space="preserve">@name-Attribut</w:t>
      </w:r>
      <w:r>
        <w:rPr>
          <w:i/>
          <w:iCs/>
        </w:rPr>
        <w:t xml:space="preserve"> </w:t>
      </w:r>
      <w:r>
        <w:rPr>
          <w:i/>
          <w:iCs/>
        </w:rPr>
        <w:t xml:space="preserve">nennt die Art; Fedlex verwendet</w:t>
      </w:r>
      <w:r>
        <w:rPr>
          <w:i/>
          <w:iCs/>
        </w:rPr>
        <w:t xml:space="preserve"> </w:t>
      </w:r>
      <w:r>
        <w:rPr>
          <w:i/>
          <w:iCs/>
        </w:rPr>
        <w:t xml:space="preserve">‘annex’</w:t>
      </w:r>
      <w:r>
        <w:rPr>
          <w:i/>
          <w:iCs/>
        </w:rPr>
        <w:t xml:space="preserve">. Es führt einen eigenen Identifikationsblock, der in den Fedlex-Dateien die URIs des zugehörigen Erlasses wiederholt.</w:t>
      </w:r>
    </w:p>
    <w:bookmarkStart w:id="270"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doc_name</w:t>
            </w:r>
          </w:p>
        </w:tc>
        <w:tc>
          <w:tcPr>
            <w:shd w:val="clear" w:color="auto" w:fill="F2F2F2"/>
          </w:tcPr>
          <w:p>
            <w:pPr>
              <w:pStyle w:val="Compact"/>
            </w:pPr>
            <w:r>
              <w:t xml:space="preserve">0..1</w:t>
            </w:r>
            <w:r>
              <w:t xml:space="preserve"> </w:t>
            </w:r>
            <w:r>
              <w:t xml:space="preserve"> </w:t>
            </w:r>
            <w:hyperlink w:anchor="DocNameEnum">
              <w:r>
                <w:rPr>
                  <w:rStyle w:val="Hyperlink"/>
                </w:rPr>
                <w:t xml:space="preserve">DocNameEnum</w:t>
              </w:r>
            </w:hyperlink>
          </w:p>
        </w:tc>
        <w:tc>
          <w:tcPr>
            <w:shd w:val="clear" w:color="auto" w:fill="F2F2F2"/>
          </w:tcPr>
          <w:p>
            <w:pPr>
              <w:pStyle w:val="Compact"/>
            </w:pPr>
            <w:r>
              <w:t xml:space="preserve">Art des beiliegenden Dokuments (akn:doc/</w:t>
            </w:r>
            <w:r>
              <w:t xml:space="preserve">@name</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main_body</w:t>
            </w:r>
          </w:p>
        </w:tc>
        <w:tc>
          <w:tcPr/>
          <w:p>
            <w:pPr>
              <w:pStyle w:val="Compact"/>
            </w:pPr>
            <w:r>
              <w:t xml:space="preserve">0..1</w:t>
            </w:r>
            <w:r>
              <w:t xml:space="preserve"> </w:t>
            </w:r>
            <w:r>
              <w:t xml:space="preserve"> </w:t>
            </w:r>
            <w:hyperlink w:anchor="MainBody">
              <w:r>
                <w:rPr>
                  <w:rStyle w:val="Hyperlink"/>
                </w:rPr>
                <w:t xml:space="preserve">MainBody</w:t>
              </w:r>
            </w:hyperlink>
          </w:p>
        </w:tc>
        <w:tc>
          <w:tcPr/>
          <w:p>
            <w:pPr>
              <w:pStyle w:val="Compact"/>
            </w:pPr>
            <w:r>
              <w:t xml:space="preserve">Hauptteil des beiliegenden Dokuments (akn:mainBody).</w:t>
            </w:r>
          </w:p>
        </w:tc>
      </w:tr>
    </w:tbl>
    <w:bookmarkEnd w:id="270"/>
    <w:bookmarkStart w:id="271"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
              <w:r>
                <w:rPr>
                  <w:rStyle w:val="Hyperlink"/>
                </w:rPr>
                <w:t xml:space="preserve">Component</w:t>
              </w:r>
            </w:hyperlink>
          </w:p>
        </w:tc>
        <w:tc>
          <w:tcPr>
            <w:shd w:val="clear" w:color="auto" w:fill="F2F2F2"/>
          </w:tcPr>
          <w:p>
            <w:pPr>
              <w:pStyle w:val="Compact"/>
            </w:pPr>
            <w:r>
              <w:t xml:space="preserve">doc_ref</w:t>
            </w:r>
          </w:p>
        </w:tc>
        <w:tc>
          <w:tcPr>
            <w:shd w:val="clear" w:color="auto" w:fill="F2F2F2"/>
          </w:tcPr>
          <w:p>
            <w:pPr>
              <w:pStyle w:val="Compact"/>
            </w:pPr>
            <w:r>
              <w:t xml:space="preserve">range</w:t>
            </w:r>
          </w:p>
        </w:tc>
        <w:tc>
          <w:tcPr>
            <w:shd w:val="clear" w:color="auto" w:fill="F2F2F2"/>
          </w:tcPr>
          <w:p>
            <w:pPr>
              <w:pStyle w:val="Compact"/>
            </w:pPr>
            <w:hyperlink w:anchor="Doc">
              <w:r>
                <w:rPr>
                  <w:rStyle w:val="Hyperlink"/>
                </w:rPr>
                <w:t xml:space="preserve">Doc</w:t>
              </w:r>
            </w:hyperlink>
          </w:p>
        </w:tc>
      </w:tr>
    </w:tbl>
    <w:bookmarkEnd w:id="271"/>
    <w:bookmarkEnd w:id="272"/>
    <w:bookmarkStart w:id="276" w:name="enum-docnameenum"/>
    <w:p>
      <w:pPr>
        <w:pStyle w:val="berschrift3"/>
      </w:pPr>
      <w:r>
        <w:t xml:space="preserve">Enum: DocNameEnum</w:t>
      </w:r>
      <w:r>
        <w:t xml:space="preserve"> </w:t>
      </w:r>
      <w:bookmarkStart w:id="273" w:name="DocNameEnum"/>
      <w:bookmarkEnd w:id="273"/>
    </w:p>
    <w:p>
      <w:pPr>
        <w:pStyle w:val="FirstParagraph"/>
      </w:pPr>
      <w:r>
        <w:rPr>
          <w:i/>
          <w:iCs/>
        </w:rPr>
        <w:t xml:space="preserve">Arten beiliegender Dokumente, die Fedlex in akn:doc/</w:t>
      </w:r>
      <w:r>
        <w:rPr>
          <w:i/>
          <w:iCs/>
        </w:rPr>
        <w:t xml:space="preserve">@name</w:t>
      </w:r>
      <w:r>
        <w:rPr>
          <w:i/>
          <w:iCs/>
        </w:rPr>
        <w:t xml:space="preserve"> </w:t>
      </w:r>
      <w:r>
        <w:rPr>
          <w:i/>
          <w:iCs/>
        </w:rPr>
        <w:t xml:space="preserve">verwendet.</w:t>
      </w:r>
    </w:p>
    <w:p>
      <w:pPr>
        <w:pStyle w:val="Textkrper"/>
      </w:pPr>
      <w:r>
        <w:t xml:space="preserve">URI:</w:t>
      </w:r>
      <w:r>
        <w:t xml:space="preserve"> </w:t>
      </w:r>
      <w:hyperlink ns1:id="rId274">
        <w:r>
          <w:rPr>
            <w:rStyle w:val="Hyperlink"/>
          </w:rPr>
          <w:t xml:space="preserve">laws:DocNameEnum</w:t>
        </w:r>
      </w:hyperlink>
    </w:p>
    <w:bookmarkStart w:id="27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annex</w:t>
            </w:r>
          </w:p>
        </w:tc>
        <w:tc>
          <w:tcPr>
            <w:shd w:val="clear" w:color="auto" w:fill="F2F2F2"/>
          </w:tcPr>
          <w:p>
            <w:pPr>
              <w:pStyle w:val="Compact"/>
            </w:pPr>
            <w:r>
              <w:t xml:space="preserve">Ein Anhang zum Erlass.</w:t>
            </w:r>
          </w:p>
        </w:tc>
      </w:tr>
    </w:tbl>
    <w:bookmarkEnd w:id="275"/>
    <w:bookmarkEnd w:id="276"/>
    <w:bookmarkStart w:id="280" w:name="klasse-mainbody"/>
    <w:p>
      <w:pPr>
        <w:pStyle w:val="berschrift3"/>
      </w:pPr>
      <w:r>
        <w:t xml:space="preserve">Klasse: MainBody</w:t>
      </w:r>
      <w:r>
        <w:t xml:space="preserve"> </w:t>
      </w:r>
      <w:bookmarkStart w:id="277" w:name="MainBody"/>
      <w:bookmarkEnd w:id="277"/>
    </w:p>
    <w:p>
      <w:pPr>
        <w:pStyle w:val="FirstParagraph"/>
      </w:pPr>
      <w:r>
        <w:rPr>
          <w:i/>
          <w:iCs/>
        </w:rPr>
        <w:t xml:space="preserve">Hauptteil eines beiliegenden Dokuments (akn:mainBody). Anders als der Erlasskörper nimmt er Absätze und Ebenen unmittelbar auf, ohne die Gesetzeshierarchie.</w:t>
      </w:r>
    </w:p>
    <w:bookmarkStart w:id="278"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content_ref</w:t>
            </w:r>
          </w:p>
        </w:tc>
        <w:tc>
          <w:tcPr>
            <w:shd w:val="clear" w:color="auto" w:fill="F2F2F2"/>
          </w:tcPr>
          <w:p>
            <w:pPr>
              <w:pStyle w:val="Compact"/>
            </w:pPr>
            <w:r>
              <w:t xml:space="preserve">0..1</w:t>
            </w:r>
            <w:r>
              <w:t xml:space="preserve"> </w:t>
            </w:r>
            <w:r>
              <w:t xml:space="preserve"> </w:t>
            </w:r>
            <w:hyperlink w:anchor="Content">
              <w:r>
                <w:rPr>
                  <w:rStyle w:val="Hyperlink"/>
                </w:rPr>
                <w:t xml:space="preserve">Content</w:t>
              </w:r>
            </w:hyperlink>
          </w:p>
        </w:tc>
        <w:tc>
          <w:tcPr>
            <w:shd w:val="clear" w:color="auto" w:fill="F2F2F2"/>
          </w:tcPr>
          <w:p>
            <w:pPr>
              <w:pStyle w:val="Compact"/>
            </w:pPr>
            <w:r>
              <w:t xml:space="preserve">Inhaltselement innerhalb eines Absatzes (akn:content).</w:t>
            </w:r>
          </w:p>
        </w:tc>
      </w:tr>
    </w:tbl>
    <w:bookmarkEnd w:id="278"/>
    <w:bookmarkStart w:id="279" w:name="verwendungen-3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Doc">
              <w:r>
                <w:rPr>
                  <w:rStyle w:val="Hyperlink"/>
                </w:rPr>
                <w:t xml:space="preserve">Doc</w:t>
              </w:r>
            </w:hyperlink>
          </w:p>
        </w:tc>
        <w:tc>
          <w:tcPr>
            <w:shd w:val="clear" w:color="auto" w:fill="F2F2F2"/>
          </w:tcPr>
          <w:p>
            <w:pPr>
              <w:pStyle w:val="Compact"/>
            </w:pPr>
            <w:r>
              <w:t xml:space="preserve">main_body</w:t>
            </w:r>
          </w:p>
        </w:tc>
        <w:tc>
          <w:tcPr>
            <w:shd w:val="clear" w:color="auto" w:fill="F2F2F2"/>
          </w:tcPr>
          <w:p>
            <w:pPr>
              <w:pStyle w:val="Compact"/>
            </w:pPr>
            <w:r>
              <w:t xml:space="preserve">range</w:t>
            </w:r>
          </w:p>
        </w:tc>
        <w:tc>
          <w:tcPr>
            <w:shd w:val="clear" w:color="auto" w:fill="F2F2F2"/>
          </w:tcPr>
          <w:p>
            <w:pPr>
              <w:pStyle w:val="Compact"/>
            </w:pPr>
            <w:hyperlink w:anchor="MainBody">
              <w:r>
                <w:rPr>
                  <w:rStyle w:val="Hyperlink"/>
                </w:rPr>
                <w:t xml:space="preserve">MainBody</w:t>
              </w:r>
            </w:hyperlink>
          </w:p>
        </w:tc>
      </w:tr>
    </w:tbl>
    <w:bookmarkEnd w:id="279"/>
    <w:bookmarkEnd w:id="280"/>
    <w:bookmarkStart w:id="287" w:name="klasse-container"/>
    <w:p>
      <w:pPr>
        <w:pStyle w:val="berschrift3"/>
      </w:pPr>
      <w:r>
        <w:t xml:space="preserve">Klasse: Container</w:t>
      </w:r>
      <w:r>
        <w:t xml:space="preserve"> </w:t>
      </w:r>
      <w:bookmarkStart w:id="281" w:name="Container"/>
      <w:bookmarkEnd w:id="281"/>
    </w:p>
    <w:p>
      <w:pPr>
        <w:pStyle w:val="FirstParagraph"/>
      </w:pPr>
      <w:r>
        <w:rPr>
          <w:i/>
          <w:iCs/>
        </w:rPr>
        <w:t xml:space="preserve">Ein generischer Behälter (akn:container), dessen</w:t>
      </w:r>
      <w:r>
        <w:rPr>
          <w:i/>
          <w:iCs/>
        </w:rPr>
        <w:t xml:space="preserve"> </w:t>
      </w:r>
      <w:r>
        <w:rPr>
          <w:i/>
          <w:iCs/>
        </w:rPr>
        <w:t xml:space="preserve">@name</w:t>
      </w:r>
      <w:r>
        <w:rPr>
          <w:i/>
          <w:iCs/>
        </w:rPr>
        <w:t xml:space="preserve"> </w:t>
      </w:r>
      <w:r>
        <w:rPr>
          <w:i/>
          <w:iCs/>
        </w:rPr>
        <w:t xml:space="preserve">den Zweck nennt.</w:t>
      </w:r>
    </w:p>
    <w:bookmarkStart w:id="282"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container_name</w:t>
            </w:r>
          </w:p>
        </w:tc>
        <w:tc>
          <w:tcPr>
            <w:shd w:val="clear" w:color="auto" w:fill="F2F2F2"/>
          </w:tcPr>
          <w:p>
            <w:pPr>
              <w:pStyle w:val="Compact"/>
            </w:pPr>
            <w:r>
              <w:t xml:space="preserve">0..1</w:t>
            </w:r>
            <w:r>
              <w:t xml:space="preserve"> </w:t>
            </w:r>
            <w:r>
              <w:t xml:space="preserve"> </w:t>
            </w:r>
            <w:hyperlink w:anchor="ContainerNameEnum">
              <w:r>
                <w:rPr>
                  <w:rStyle w:val="Hyperlink"/>
                </w:rPr>
                <w:t xml:space="preserve">ContainerNameEnum</w:t>
              </w:r>
            </w:hyperlink>
          </w:p>
        </w:tc>
        <w:tc>
          <w:tcPr>
            <w:shd w:val="clear" w:color="auto" w:fill="F2F2F2"/>
          </w:tcPr>
          <w:p>
            <w:pPr>
              <w:pStyle w:val="Compact"/>
            </w:pPr>
            <w:r>
              <w:t xml:space="preserve">Zweck des Behälters (akn:container/</w:t>
            </w:r>
            <w:r>
              <w:t xml:space="preserve">@name</w:t>
            </w:r>
            <w:r>
              <w:t xml:space="preserve">).</w:t>
            </w:r>
          </w:p>
        </w:tc>
      </w:tr>
      <w:tr>
        <w:tc>
          <w:tcPr/>
          <w:p>
            <w:pPr>
              <w:pStyle w:val="Compact"/>
            </w:pPr>
            <w:r>
              <w:t xml:space="preserve">blocks</w:t>
            </w:r>
          </w:p>
        </w:tc>
        <w:tc>
          <w:tcPr/>
          <w:p>
            <w:pPr>
              <w:pStyle w:val="Compact"/>
            </w:pPr>
            <w:r>
              <w:t xml:space="preserve">*</w:t>
            </w:r>
            <w:r>
              <w:t xml:space="preserve"> </w:t>
            </w:r>
            <w:r>
              <w:t xml:space="preserve"> </w:t>
            </w:r>
            <w:hyperlink w:anchor="Block">
              <w:r>
                <w:rPr>
                  <w:rStyle w:val="Hyperlink"/>
                </w:rPr>
                <w:t xml:space="preserve">Block</w:t>
              </w:r>
            </w:hyperlink>
          </w:p>
        </w:tc>
        <w:tc>
          <w:tcPr/>
          <w:p>
            <w:pPr>
              <w:pStyle w:val="Compact"/>
            </w:pPr>
            <w:r>
              <w:t xml:space="preserve">Blöcke innerhalb des Behälters (akn:block).</w:t>
            </w:r>
          </w:p>
        </w:tc>
      </w:tr>
    </w:tbl>
    <w:bookmarkEnd w:id="282"/>
    <w:bookmarkStart w:id="283" w:name="verwendungen-3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containers</w:t>
            </w:r>
          </w:p>
        </w:tc>
        <w:tc>
          <w:tcPr>
            <w:shd w:val="clear" w:color="auto" w:fill="F2F2F2"/>
          </w:tcPr>
          <w:p>
            <w:pPr>
              <w:pStyle w:val="Compact"/>
            </w:pPr>
            <w:r>
              <w:t xml:space="preserve">range</w:t>
            </w:r>
          </w:p>
        </w:tc>
        <w:tc>
          <w:tcPr>
            <w:shd w:val="clear" w:color="auto" w:fill="F2F2F2"/>
          </w:tcPr>
          <w:p>
            <w:pPr>
              <w:pStyle w:val="Compact"/>
            </w:pPr>
            <w:hyperlink w:anchor="Container">
              <w:r>
                <w:rPr>
                  <w:rStyle w:val="Hyperlink"/>
                </w:rPr>
                <w:t xml:space="preserve">Container</w:t>
              </w:r>
            </w:hyperlink>
          </w:p>
        </w:tc>
      </w:tr>
    </w:tbl>
    <w:bookmarkEnd w:id="283"/>
    <w:bookmarkStart w:id="286" w:name="beispiele-15"/>
    <w:p>
      <w:pPr>
        <w:pStyle w:val="berschrift4"/>
      </w:pPr>
      <w:r>
        <w:t xml:space="preserve">Beispiele</w:t>
      </w:r>
    </w:p>
    <w:bookmarkStart w:id="284" w:name="beispiel-container-sr101-excerpt"/>
    <w:p>
      <w:pPr>
        <w:pStyle w:val="berschrift5"/>
      </w:pPr>
      <w:r>
        <w:t xml:space="preserve">Beispiel Container: sr101 excerpt</w:t>
      </w:r>
    </w:p>
    <w:p>
      <w:pPr>
        <w:pStyle w:val="SourceCode"/>
      </w:pPr>
      <w:r>
        <w:rPr>
          <w:rStyle w:val="CommentTok"/>
        </w:rPr>
        <w:t xml:space="preserve"># Auszug aus SR 101, Bundesverfassung der Schweizerischen Eidgenossenschaft,</w:t>
      </w:r>
      <w:r>
        <w:br/>
      </w:r>
      <w:r>
        <w:rPr>
          <w:rStyle w:val="CommentTok"/>
        </w:rPr>
        <w:t xml:space="preserve"># Fassung vom 3. März 2024. Werte übernommen aus der Fedlex-Datei</w:t>
      </w:r>
      <w:r>
        <w:br/>
      </w:r>
      <w:r>
        <w:rPr>
          <w:rStyle w:val="CommentTok"/>
        </w:rPr>
        <w:t xml:space="preserve"># misc/spec/input/examples/federal/SR-101-03032024-DE.xml -- gekürzt auf den</w:t>
      </w:r>
      <w:r>
        <w:br/>
      </w:r>
      <w:r>
        <w:rPr>
          <w:rStyle w:val="CommentTok"/>
        </w:rPr>
        <w:t xml:space="preserve"># vollständigen Metadatenblock, den Vorspann und den ersten Artikel, damit die</w:t>
      </w:r>
      <w:r>
        <w:br/>
      </w:r>
      <w:r>
        <w:rPr>
          <w:rStyle w:val="CommentTok"/>
        </w:rPr>
        <w:t xml:space="preserve"># Beispiele im Dokument lesbar bleiben.</w:t>
      </w:r>
      <w:r>
        <w:br/>
      </w: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constitution</w:t>
      </w:r>
      <w:r>
        <w:br/>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CommentTok"/>
        </w:rPr>
        <w:t xml:space="preserve">      # Der Anker zeigt auf die Organisation, die in references deklariert ist.</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CommentTok"/>
        </w:rPr>
        <w:t xml:space="preserve">        # Drei Datumsangaben desselben Werks, unterschieden über @name aus dem</w:t>
      </w:r>
      <w:r>
        <w:br/>
      </w:r>
      <w:r>
        <w:rPr>
          <w:rStyle w:val="CommentTok"/>
        </w:rPr>
        <w:t xml:space="preserve">        # Fedlex/JoLux-Vokabular: Inkrafttreten, Erlassdatum, Nachführungsstand.</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CommentTok"/>
        </w:rPr>
        <w:t xml:space="preserve">        # Die SR-Nummer wird nicht übersetzt, der Titel schon: je Sprache ein</w:t>
      </w:r>
      <w:r>
        <w:br/>
      </w:r>
      <w:r>
        <w:rPr>
          <w:rStyle w:val="CommentTok"/>
        </w:rPr>
        <w:t xml:space="preserve">        # Eintrag mit Kurzform.</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br/>
      </w:r>
      <w:r>
        <w:rPr>
          <w:rStyle w:val="CommentTok"/>
        </w:rPr>
        <w:t xml:space="preserve">      # Die Expression ist die sprachliche Fassung: dieselbe URI mit Sprachanteil.</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br/>
      </w:r>
      <w:r>
        <w:rPr>
          <w:rStyle w:val="CommentTok"/>
        </w:rPr>
        <w:t xml:space="preserve">      # Die Manifestation ist die konkrete Datei -- hier das XML.</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br/>
      </w:r>
      <w:r>
        <w:rPr>
          <w:rStyle w:val="CommentTok"/>
        </w:rPr>
        <w:t xml:space="preserve">    # Stellen und Rollen stehen einmal hier; die Elemente oben verweisen mit</w:t>
      </w:r>
      <w:r>
        <w:br/>
      </w:r>
      <w:r>
        <w:rPr>
          <w:rStyle w:val="CommentTok"/>
        </w:rPr>
        <w:t xml:space="preserve">    # dokumentinternen Ankern darauf.</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der Schweizerischen Eidgenossenschaft</w:t>
      </w:r>
      <w:r>
        <w:br/>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Titel: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CommentTok"/>
        </w:rPr>
        <w:t xml:space="preserve">            # Die Artikelnummer ist im Original fett ausgezeichnet: ein B-Element</w:t>
      </w:r>
      <w:r>
        <w:br/>
      </w:r>
      <w:r>
        <w:rPr>
          <w:rStyle w:val="CommentTok"/>
        </w:rPr>
        <w:t xml:space="preserve">            # mit einem Textlauf darin, nicht eine Zeichenkette "Art. 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Das Schweizervolk und die Kantone Zürich, Bern, Luzern, Uri, Schwyz,</w:t>
      </w:r>
      <w:r>
        <w:br/>
      </w:r>
      <w:r>
        <w:rPr>
          <w:rStyle w:val="NormalTok"/>
        </w:rPr>
        <w:t xml:space="preserve">                            Obwalden und Nidwalden, Glarus, Zug, Freiburg, Solothurn, Basel-Stadt</w:t>
      </w:r>
      <w:r>
        <w:br/>
      </w:r>
      <w:r>
        <w:rPr>
          <w:rStyle w:val="NormalTok"/>
        </w:rPr>
        <w:t xml:space="preserve">                            und Basel-Landschaft, Schaffhausen, Appenzell Ausserrhoden und</w:t>
      </w:r>
      <w:r>
        <w:br/>
      </w:r>
      <w:r>
        <w:rPr>
          <w:rStyle w:val="NormalTok"/>
        </w:rPr>
        <w:t xml:space="preserve">                            Appenzell Innerrhoden, St. Gallen, Graubünden, Aargau, Thurgau,</w:t>
      </w:r>
      <w:r>
        <w:br/>
      </w:r>
      <w:r>
        <w:rPr>
          <w:rStyle w:val="NormalTok"/>
        </w:rPr>
        <w:t xml:space="preserve">                            Tessin, Waadt, Wallis, Neuenburg, Genf und Jura bilden die</w:t>
      </w:r>
      <w:r>
        <w:br/>
      </w:r>
      <w:r>
        <w:rPr>
          <w:rStyle w:val="NormalTok"/>
        </w:rPr>
        <w:t xml:space="preserve">                            Schweizerische Eidgenossenschaft.</w:t>
      </w:r>
    </w:p>
    <w:bookmarkEnd w:id="284"/>
    <w:bookmarkStart w:id="285" w:name="beispiel-container-bgoe-excerpt"/>
    <w:p>
      <w:pPr>
        <w:pStyle w:val="berschrift5"/>
      </w:pPr>
      <w:r>
        <w:t xml:space="preserve">Beispiel Container: bgoe excerpt</w:t>
      </w:r>
    </w:p>
    <w:p>
      <w:pPr>
        <w:pStyle w:val="SourceCode"/>
      </w:pPr>
      <w:r>
        <w:rPr>
          <w:rStyle w:val="CommentTok"/>
        </w:rPr>
        <w:t xml:space="preserve"># Auszug aus SR 152.3, Bundesgesetz über das Öffentlichkeitsprinzip der</w:t>
      </w:r>
      <w:r>
        <w:br/>
      </w:r>
      <w:r>
        <w:rPr>
          <w:rStyle w:val="CommentTok"/>
        </w:rPr>
        <w:t xml:space="preserve"># Verwaltung (Öffentlichkeitsgesetz, BGÖ), Fassung vom 1. November 2023.</w:t>
      </w:r>
      <w:r>
        <w:br/>
      </w:r>
      <w:r>
        <w:rPr>
          <w:rStyle w:val="CommentTok"/>
        </w:rPr>
        <w:t xml:space="preserve"># Werte übernommen aus der Fedlex-Auslieferung</w:t>
      </w:r>
      <w:r>
        <w:br/>
      </w:r>
      <w:r>
        <w:rPr>
          <w:rStyle w:val="CommentTok"/>
        </w:rPr>
        <w:t xml:space="preserve"># https://fedlex.data.admin.ch/eli/cc/2006/355/20231101/de/xml</w:t>
      </w:r>
      <w:r>
        <w:br/>
      </w:r>
      <w:r>
        <w:rPr>
          <w:rStyle w:val="CommentTok"/>
        </w:rPr>
        <w:t xml:space="preserve">#</w:t>
      </w:r>
      <w:r>
        <w:br/>
      </w:r>
      <w:r>
        <w:rPr>
          <w:rStyle w:val="CommentTok"/>
        </w:rPr>
        <w:t xml:space="preserve"># Zweites Beispiel neben der Bundesverfassung: ein gewöhnliches Bundesgesetz</w:t>
      </w:r>
      <w:r>
        <w:br/>
      </w:r>
      <w:r>
        <w:rPr>
          <w:rStyle w:val="CommentTok"/>
        </w:rPr>
        <w:t xml:space="preserve"># (act_name: publicLaw statt constitution), mit Aufzählung im Absatz und den</w:t>
      </w:r>
      <w:r>
        <w:br/>
      </w:r>
      <w:r>
        <w:rPr>
          <w:rStyle w:val="CommentTok"/>
        </w:rPr>
        <w:t xml:space="preserve"># Referenzeinträgen für Sprache und Format, welche die Verfassungsdatei nicht</w:t>
      </w:r>
      <w:r>
        <w:br/>
      </w:r>
      <w:r>
        <w:rPr>
          <w:rStyle w:val="CommentTok"/>
        </w:rPr>
        <w:t xml:space="preserve"># führt.</w:t>
      </w:r>
      <w:r>
        <w:br/>
      </w: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CommentTok"/>
        </w:rPr>
        <w:t xml:space="preserve">        # Anders als die Verfassung trägt das Gesetz eine gegliederte SR-Nummer.</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Bundesgesetz vom 17. Dezember 2004 über das Öffentlichkeitsprinzip der Verwaltung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Loi fédérale du 17 décembre 2004 sur le principe de la transparence dans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Legge federale del 17 dicembre 2004 sul principio di trasparenza dell'amministrazione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Lescha federala dals 17 da december 2004 davart il princip da la transparenza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AttributeTok"/>
        </w:rPr>
        <w:t xml:space="preserve">            </w:t>
      </w:r>
      <w:r>
        <w:rPr>
          <w:rStyle w:val="FunctionTok"/>
        </w:rPr>
        <w:t xml:space="preserve">value</w:t>
      </w:r>
      <w:r>
        <w:rPr>
          <w:rStyle w:val="KeywordTok"/>
        </w:rPr>
        <w:t xml:space="preserve">:</w:t>
      </w:r>
      <w:r>
        <w:rPr>
          <w:rStyle w:val="AttributeTok"/>
        </w:rPr>
        <w:t xml:space="preserve"> Federal Act of 17 December 2004 on Freedom of Information in the Administration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CommentTok"/>
        </w:rPr>
        <w:t xml:space="preserve">        # Fedlex vermerkt am Format zusätzlich, welche Werkzeugversion die Datei</w:t>
      </w:r>
      <w:r>
        <w:br/>
      </w:r>
      <w:r>
        <w:rPr>
          <w:rStyle w:val="CommentTok"/>
        </w:rPr>
        <w:t xml:space="preserve">        # erzeugt hat -- ein Attribut aus dem Fedlex-Namensraum.</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CommentTok"/>
        </w:rPr>
        <w:t xml:space="preserve">      # Sprache und Format zeigen auf kontrollierte Vokabulare: das der EU für</w:t>
      </w:r>
      <w:r>
        <w:br/>
      </w:r>
      <w:r>
        <w:rPr>
          <w:rStyle w:val="CommentTok"/>
        </w:rPr>
        <w:t xml:space="preserve">      # die Sprache, das von Fedlex für das Dateiformat.</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über das Öffentlichkeitsprinzip der Verwaltung</w:t>
      </w:r>
      <w:r>
        <w:br/>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Zweck und Gegenstand</w:t>
      </w:r>
      <w:r>
        <w:br/>
      </w:r>
      <w:r>
        <w:rPr>
          <w:rStyle w:val="AttributeTok"/>
        </w:rPr>
        <w:t xml:space="preserve">        </w:t>
      </w:r>
      <w:r>
        <w:rPr>
          <w:rStyle w:val="FunctionTok"/>
        </w:rPr>
        <w:t xml:space="preserve">paragraphs</w:t>
      </w:r>
      <w:r>
        <w:rPr>
          <w:rStyle w:val="KeywordTok"/>
        </w:rPr>
        <w:t xml:space="preserve">:</w:t>
      </w:r>
      <w:r>
        <w:br/>
      </w:r>
      <w:r>
        <w:rPr>
          <w:rStyle w:val="CommentTok"/>
        </w:rPr>
        <w:t xml:space="preserve">          # Ein einziger Absatz bleibt unnummeriert; die eId endet auf "para".</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Dieses Gesetz soll die Transparenz über den Auftrag, die Organisation und</w:t>
      </w:r>
      <w:r>
        <w:br/>
      </w:r>
      <w:r>
        <w:rPr>
          <w:rStyle w:val="NormalTok"/>
        </w:rPr>
        <w:t xml:space="preserve">                        die Tätigkeit der Verwaltung fördern. Zu diesem Zweck trägt es zur</w:t>
      </w:r>
      <w:r>
        <w:br/>
      </w:r>
      <w:r>
        <w:rPr>
          <w:rStyle w:val="NormalTok"/>
        </w:rPr>
        <w:t xml:space="preserve">                        Information der Öffentlichkeit bei, indem es den Zugang zu amtlichen</w:t>
      </w:r>
      <w:r>
        <w:br/>
      </w:r>
      <w:r>
        <w:rPr>
          <w:rStyle w:val="NormalTok"/>
        </w:rPr>
        <w:t xml:space="preserve">                        Dokumenten gewährleistet.</w:t>
      </w:r>
      <w:r>
        <w:br/>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Persönlicher Geltungsbereich</w:t>
      </w:r>
      <w:r>
        <w:br/>
      </w:r>
      <w:r>
        <w:rPr>
          <w:rStyle w:val="AttributeTok"/>
        </w:rPr>
        <w:t xml:space="preserve">        </w:t>
      </w:r>
      <w:r>
        <w:rPr>
          <w:rStyle w:val="FunctionTok"/>
        </w:rPr>
        <w:t xml:space="preserve">paragraphs</w:t>
      </w:r>
      <w:r>
        <w:rPr>
          <w:rStyle w:val="KeywordTok"/>
        </w:rPr>
        <w:t xml:space="preserve">:</w:t>
      </w:r>
      <w:r>
        <w:br/>
      </w:r>
      <w:r>
        <w:rPr>
          <w:rStyle w:val="CommentTok"/>
        </w:rPr>
        <w:t xml:space="preserve">          # Mehrere Absätze werden nummeriert, und der Absatz führt statt eines</w:t>
      </w:r>
      <w:r>
        <w:br/>
      </w:r>
      <w:r>
        <w:rPr>
          <w:rStyle w:val="CommentTok"/>
        </w:rPr>
        <w:t xml:space="preserve">          # Fliesstextes eine Aufzählung mit Einleitungssatz.</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block_lists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art_2/para_1/lst</w:t>
      </w:r>
      <w:r>
        <w:br/>
      </w:r>
      <w:r>
        <w:rPr>
          <w:rStyle w:val="AttributeTok"/>
        </w:rPr>
        <w:t xml:space="preserve">                  </w:t>
      </w:r>
      <w:r>
        <w:rPr>
          <w:rStyle w:val="FunctionTok"/>
        </w:rPr>
        <w:t xml:space="preserve">list_introduction</w:t>
      </w:r>
      <w:r>
        <w:rPr>
          <w:rStyle w:val="KeywordTok"/>
        </w:rPr>
        <w:t xml:space="preserve">:</w:t>
      </w:r>
      <w:r>
        <w:br/>
      </w:r>
      <w:r>
        <w:rPr>
          <w:rStyle w:val="AttributeTok"/>
        </w:rPr>
        <w:t xml:space="preserve">                    </w:t>
      </w:r>
      <w:r>
        <w:rPr>
          <w:rStyle w:val="FunctionTok"/>
        </w:rPr>
        <w:t xml:space="preserve">eId</w:t>
      </w:r>
      <w:r>
        <w:rPr>
          <w:rStyle w:val="KeywordTok"/>
        </w:rPr>
        <w:t xml:space="preserve">:</w:t>
      </w:r>
      <w:r>
        <w:rPr>
          <w:rStyle w:val="AttributeTok"/>
        </w:rPr>
        <w:t xml:space="preserve"> art_2/para_1/listintro</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Dieses Gesetz gilt für:"</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Bundesverwaltung;</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art_2/para_1/lbl_b</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 "</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Organisationen und Personen des öffentlichen oder privaten Rechts,</w:t>
      </w:r>
      <w:r>
        <w:br/>
      </w:r>
      <w:r>
        <w:rPr>
          <w:rStyle w:val="NormalTok"/>
        </w:rPr>
        <w:t xml:space="preserve">                                die nicht der Bundesverwaltung angehören, soweit sie Erlasse oder</w:t>
      </w:r>
      <w:r>
        <w:br/>
      </w:r>
      <w:r>
        <w:rPr>
          <w:rStyle w:val="NormalTok"/>
        </w:rPr>
        <w:t xml:space="preserve">                                erstinstanzliche Verfügungen im Sinne von Artikel 5 des</w:t>
      </w:r>
      <w:r>
        <w:br/>
      </w:r>
      <w:r>
        <w:rPr>
          <w:rStyle w:val="NormalTok"/>
        </w:rPr>
        <w:t xml:space="preserve">                                Bundesgesetzes vom 20. Dezember 1968 über das</w:t>
      </w:r>
      <w:r>
        <w:br/>
      </w:r>
      <w:r>
        <w:rPr>
          <w:rStyle w:val="NormalTok"/>
        </w:rPr>
        <w:t xml:space="preserve">                                Verwaltungsverfahren erlassen;</w:t>
      </w:r>
      <w:r>
        <w:br/>
      </w:r>
      <w:r>
        <w:br/>
      </w:r>
      <w:r>
        <w:rPr>
          <w:rStyle w:val="CommentTok"/>
        </w:rPr>
        <w:t xml:space="preserve">  # Der Anhang des Erlasses: ein eigenes Dokument mit eigenem Vorspann und</w:t>
      </w:r>
      <w:r>
        <w:br/>
      </w:r>
      <w:r>
        <w:rPr>
          <w:rStyle w:val="CommentTok"/>
        </w:rPr>
        <w:t xml:space="preserve">  # Hauptteil. Sein Identifikationsblock, der in der Fedlex-Datei die URIs des</w:t>
      </w:r>
      <w:r>
        <w:br/>
      </w:r>
      <w:r>
        <w:rPr>
          <w:rStyle w:val="CommentTok"/>
        </w:rPr>
        <w:t xml:space="preserve">  # Erlasses unveraendert wiederholt, ist hier weggelassen.</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container_name</w:t>
      </w:r>
      <w:r>
        <w:rPr>
          <w:rStyle w:val="KeywordTok"/>
        </w:rPr>
        <w:t xml:space="preserve">:</w:t>
      </w:r>
      <w:r>
        <w:rPr>
          <w:rStyle w:val="AttributeTok"/>
        </w:rPr>
        <w:t xml:space="preserve"> headerOfAnnex</w:t>
      </w:r>
      <w:r>
        <w:br/>
      </w:r>
      <w:r>
        <w:rPr>
          <w:rStyle w:val="AttributeTok"/>
        </w:rPr>
        <w:t xml:space="preserve">            </w:t>
      </w:r>
      <w:r>
        <w:rPr>
          <w:rStyle w:val="FunctionTok"/>
        </w:rPr>
        <w:t xml:space="preserve">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block_name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Anhang</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(Art. 22)</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annex_u1/lvl_u1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Änderung bisherigen Rechts</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'Die nachstehenden Gesetze werden wie folgt geändert:'</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block_paragraphs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Änderungen können unter</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Ref</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https://fedlex.data.admin.ch/eli/oc/2006/355</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AS</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'2006'</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'2319'</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konsultiert werden.</w:t>
      </w:r>
    </w:p>
    <w:bookmarkEnd w:id="285"/>
    <w:bookmarkEnd w:id="286"/>
    <w:bookmarkEnd w:id="287"/>
    <w:bookmarkStart w:id="291" w:name="enum-containernameenum"/>
    <w:p>
      <w:pPr>
        <w:pStyle w:val="berschrift3"/>
      </w:pPr>
      <w:r>
        <w:t xml:space="preserve">Enum: ContainerNameEnum</w:t>
      </w:r>
      <w:r>
        <w:t xml:space="preserve"> </w:t>
      </w:r>
      <w:bookmarkStart w:id="288" w:name="ContainerNameEnum"/>
      <w:bookmarkEnd w:id="288"/>
    </w:p>
    <w:p>
      <w:pPr>
        <w:pStyle w:val="FirstParagraph"/>
      </w:pPr>
      <w:r>
        <w:rPr>
          <w:i/>
          <w:iCs/>
        </w:rPr>
        <w:t xml:space="preserve">Zwecke, die Fedlex in akn:container/</w:t>
      </w:r>
      <w:r>
        <w:rPr>
          <w:i/>
          <w:iCs/>
        </w:rPr>
        <w:t xml:space="preserve">@name</w:t>
      </w:r>
      <w:r>
        <w:rPr>
          <w:i/>
          <w:iCs/>
        </w:rPr>
        <w:t xml:space="preserve"> </w:t>
      </w:r>
      <w:r>
        <w:rPr>
          <w:i/>
          <w:iCs/>
        </w:rPr>
        <w:t xml:space="preserve">verwendet.</w:t>
      </w:r>
    </w:p>
    <w:p>
      <w:pPr>
        <w:pStyle w:val="Textkrper"/>
      </w:pPr>
      <w:r>
        <w:t xml:space="preserve">URI:</w:t>
      </w:r>
      <w:r>
        <w:t xml:space="preserve"> </w:t>
      </w:r>
      <w:hyperlink ns1:id="rId289">
        <w:r>
          <w:rPr>
            <w:rStyle w:val="Hyperlink"/>
          </w:rPr>
          <w:t xml:space="preserve">laws:ContainerNameEnum</w:t>
        </w:r>
      </w:hyperlink>
    </w:p>
    <w:bookmarkStart w:id="290"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headerOfAnnex</w:t>
            </w:r>
          </w:p>
        </w:tc>
        <w:tc>
          <w:tcPr>
            <w:shd w:val="clear" w:color="auto" w:fill="F2F2F2"/>
          </w:tcPr>
          <w:p>
            <w:pPr>
              <w:pStyle w:val="Compact"/>
            </w:pPr>
            <w:r>
              <w:t xml:space="preserve">Kopfbereich eines Anhangs.</w:t>
            </w:r>
          </w:p>
        </w:tc>
      </w:tr>
    </w:tbl>
    <w:bookmarkEnd w:id="290"/>
    <w:bookmarkEnd w:id="291"/>
    <w:bookmarkStart w:id="295" w:name="klasse-block"/>
    <w:p>
      <w:pPr>
        <w:pStyle w:val="berschrift3"/>
      </w:pPr>
      <w:r>
        <w:t xml:space="preserve">Klasse: Block</w:t>
      </w:r>
      <w:r>
        <w:t xml:space="preserve"> </w:t>
      </w:r>
      <w:bookmarkStart w:id="292" w:name="Block"/>
      <w:bookmarkEnd w:id="292"/>
    </w:p>
    <w:p>
      <w:pPr>
        <w:pStyle w:val="FirstParagraph"/>
      </w:pPr>
      <w:r>
        <w:rPr>
          <w:i/>
          <w:iCs/>
        </w:rPr>
        <w:t xml:space="preserve">Ein generischer Block (akn:block), dessen</w:t>
      </w:r>
      <w:r>
        <w:rPr>
          <w:i/>
          <w:iCs/>
        </w:rPr>
        <w:t xml:space="preserve"> </w:t>
      </w:r>
      <w:r>
        <w:rPr>
          <w:i/>
          <w:iCs/>
        </w:rPr>
        <w:t xml:space="preserve">@name</w:t>
      </w:r>
      <w:r>
        <w:rPr>
          <w:i/>
          <w:iCs/>
        </w:rPr>
        <w:t xml:space="preserve"> </w:t>
      </w:r>
      <w:r>
        <w:rPr>
          <w:i/>
          <w:iCs/>
        </w:rPr>
        <w:t xml:space="preserve">den Zweck nennt; trägt gemischten Inhalt.</w:t>
      </w:r>
    </w:p>
    <w:bookmarkStart w:id="293"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block_name</w:t>
            </w:r>
          </w:p>
        </w:tc>
        <w:tc>
          <w:tcPr>
            <w:shd w:val="clear" w:color="auto" w:fill="F2F2F2"/>
          </w:tcPr>
          <w:p>
            <w:pPr>
              <w:pStyle w:val="Compact"/>
            </w:pPr>
            <w:r>
              <w:t xml:space="preserve">0..1</w:t>
            </w:r>
            <w:r>
              <w:t xml:space="preserve"> </w:t>
            </w:r>
            <w:r>
              <w:t xml:space="preserve"> </w:t>
            </w:r>
            <w:hyperlink w:anchor="BlockNameEnum">
              <w:r>
                <w:rPr>
                  <w:rStyle w:val="Hyperlink"/>
                </w:rPr>
                <w:t xml:space="preserve">BlockNameEnum</w:t>
              </w:r>
            </w:hyperlink>
          </w:p>
        </w:tc>
        <w:tc>
          <w:tcPr>
            <w:shd w:val="clear" w:color="auto" w:fill="F2F2F2"/>
          </w:tcPr>
          <w:p>
            <w:pPr>
              <w:pStyle w:val="Compact"/>
            </w:pPr>
            <w:r>
              <w:t xml:space="preserve">Zweck des Blocks (akn:block/</w:t>
            </w:r>
            <w:r>
              <w:t xml:space="preserve">@name</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293"/>
    <w:bookmarkStart w:id="294" w:name="verwendungen-3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blocks</w:t>
            </w:r>
          </w:p>
        </w:tc>
        <w:tc>
          <w:tcPr>
            <w:shd w:val="clear" w:color="auto" w:fill="F2F2F2"/>
          </w:tcPr>
          <w:p>
            <w:pPr>
              <w:pStyle w:val="Compact"/>
            </w:pPr>
            <w:r>
              <w:t xml:space="preserve">range</w:t>
            </w:r>
          </w:p>
        </w:tc>
        <w:tc>
          <w:tcPr>
            <w:shd w:val="clear" w:color="auto" w:fill="F2F2F2"/>
          </w:tcPr>
          <w:p>
            <w:pPr>
              <w:pStyle w:val="Compact"/>
            </w:pPr>
            <w:hyperlink w:anchor="Block">
              <w:r>
                <w:rPr>
                  <w:rStyle w:val="Hyperlink"/>
                </w:rPr>
                <w:t xml:space="preserve">Block</w:t>
              </w:r>
            </w:hyperlink>
          </w:p>
        </w:tc>
      </w:tr>
    </w:tbl>
    <w:bookmarkEnd w:id="294"/>
    <w:bookmarkEnd w:id="295"/>
    <w:bookmarkStart w:id="299" w:name="enum-blocknameenum"/>
    <w:p>
      <w:pPr>
        <w:pStyle w:val="berschrift3"/>
      </w:pPr>
      <w:r>
        <w:t xml:space="preserve">Enum: BlockNameEnum</w:t>
      </w:r>
      <w:r>
        <w:t xml:space="preserve"> </w:t>
      </w:r>
      <w:bookmarkStart w:id="296" w:name="BlockNameEnum"/>
      <w:bookmarkEnd w:id="296"/>
    </w:p>
    <w:p>
      <w:pPr>
        <w:pStyle w:val="FirstParagraph"/>
      </w:pPr>
      <w:r>
        <w:rPr>
          <w:i/>
          <w:iCs/>
        </w:rPr>
        <w:t xml:space="preserve">Zwecke, die Fedlex in akn:block/</w:t>
      </w:r>
      <w:r>
        <w:rPr>
          <w:i/>
          <w:iCs/>
        </w:rPr>
        <w:t xml:space="preserve">@name</w:t>
      </w:r>
      <w:r>
        <w:rPr>
          <w:i/>
          <w:iCs/>
        </w:rPr>
        <w:t xml:space="preserve"> </w:t>
      </w:r>
      <w:r>
        <w:rPr>
          <w:i/>
          <w:iCs/>
        </w:rPr>
        <w:t xml:space="preserve">verwendet.</w:t>
      </w:r>
    </w:p>
    <w:p>
      <w:pPr>
        <w:pStyle w:val="Textkrper"/>
      </w:pPr>
      <w:r>
        <w:t xml:space="preserve">URI:</w:t>
      </w:r>
      <w:r>
        <w:t xml:space="preserve"> </w:t>
      </w:r>
      <w:hyperlink ns1:id="rId297">
        <w:r>
          <w:rPr>
            <w:rStyle w:val="Hyperlink"/>
          </w:rPr>
          <w:t xml:space="preserve">laws:BlockNameEnum</w:t>
        </w:r>
      </w:hyperlink>
    </w:p>
    <w:bookmarkStart w:id="298"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heading</w:t>
            </w:r>
          </w:p>
        </w:tc>
        <w:tc>
          <w:tcPr>
            <w:shd w:val="clear" w:color="auto" w:fill="F2F2F2"/>
          </w:tcPr>
          <w:p>
            <w:pPr>
              <w:pStyle w:val="Compact"/>
            </w:pPr>
            <w:r>
              <w:t xml:space="preserve">Die Überschrift des umgebenden Behälters.</w:t>
            </w:r>
          </w:p>
        </w:tc>
      </w:tr>
      <w:tr>
        <w:tc>
          <w:tcPr/>
          <w:p>
            <w:pPr>
              <w:pStyle w:val="Compact"/>
            </w:pPr>
            <w:r>
              <w:t xml:space="preserve">num</w:t>
            </w:r>
          </w:p>
        </w:tc>
        <w:tc>
          <w:tcPr/>
          <w:p>
            <w:pPr>
              <w:pStyle w:val="Compact"/>
            </w:pPr>
            <w:r>
              <w:t xml:space="preserve">Die Nummer des umgebenden Behälters.</w:t>
            </w:r>
          </w:p>
        </w:tc>
      </w:tr>
    </w:tbl>
    <w:bookmarkEnd w:id="298"/>
    <w:p>
      <w:r>
        <w:br w:type="page"/>
      </w:r>
    </w:p>
    <w:bookmarkEnd w:id="299"/>
    <w:bookmarkEnd w:id="300"/>
    <w:bookmarkEnd w:id="301"/>
    <w:bookmarkStart w:id="343"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305" w:name="klasse-mixedtext"/>
    <w:p>
      <w:pPr>
        <w:pStyle w:val="berschrift3"/>
      </w:pPr>
      <w:r>
        <w:t xml:space="preserve">Klasse: MixedText</w:t>
      </w:r>
      <w:r>
        <w:t xml:space="preserve"> </w:t>
      </w:r>
      <w:bookmarkStart w:id="302" w:name="MixedText"/>
      <w:bookmarkEnd w:id="302"/>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303"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303"/>
    <w:bookmarkStart w:id="304" w:name="verwendungen-3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doc_title</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
              <w:r>
                <w:rPr>
                  <w:rStyle w:val="Hyperlink"/>
                </w:rPr>
                <w:t xml:space="preserve">BlockList</w:t>
              </w:r>
            </w:hyperlink>
          </w:p>
        </w:tc>
        <w:tc>
          <w:tcPr/>
          <w:p>
            <w:pPr>
              <w:pStyle w:val="Compact"/>
            </w:pPr>
            <w:r>
              <w:t xml:space="preserve">list_introduction</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304"/>
    <w:bookmarkEnd w:id="305"/>
    <w:bookmarkStart w:id="309" w:name="klasse-inlineelement"/>
    <w:p>
      <w:pPr>
        <w:pStyle w:val="berschrift3"/>
      </w:pPr>
      <w:r>
        <w:t xml:space="preserve">Klasse: InlineElement</w:t>
      </w:r>
      <w:r>
        <w:t xml:space="preserve"> </w:t>
      </w:r>
      <w:bookmarkStart w:id="306" w:name="InlineElement"/>
      <w:bookmarkEnd w:id="306"/>
    </w:p>
    <w:p>
      <w:pPr>
        <w:pStyle w:val="FirstParagraph"/>
      </w:pPr>
      <w:r>
        <w:rPr>
          <w:i/>
          <w:iCs/>
        </w:rPr>
        <w:t xml:space="preserve">Abstrakte Basis für ein modelliertes Inline-Markup-Element in gemischtem Inhalt.</w:t>
      </w:r>
    </w:p>
    <w:bookmarkStart w:id="307"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p>
        </w:tc>
      </w:tr>
    </w:tbl>
    <w:bookmarkEnd w:id="307"/>
    <w:bookmarkStart w:id="308" w:name="verwendungen-3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lockParagraph">
              <w:r>
                <w:rPr>
                  <w:rStyle w:val="Hyperlink"/>
                </w:rPr>
                <w:t xml:space="preserve">BlockParagraph</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MixedText">
              <w:r>
                <w:rPr>
                  <w:rStyle w:val="Hyperlink"/>
                </w:rPr>
                <w:t xml:space="preserve">MixedText</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Ref">
              <w:r>
                <w:rPr>
                  <w:rStyle w:val="Hyperlink"/>
                </w:rPr>
                <w:t xml:space="preserve">Ref</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
              <w:r>
                <w:rPr>
                  <w:rStyle w:val="Hyperlink"/>
                </w:rPr>
                <w:t xml:space="preserve">B</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
              <w:r>
                <w:rPr>
                  <w:rStyle w:val="Hyperlink"/>
                </w:rPr>
                <w:t xml:space="preserve">I</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up">
              <w:r>
                <w:rPr>
                  <w:rStyle w:val="Hyperlink"/>
                </w:rPr>
                <w:t xml:space="preserve">Sup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pan">
              <w:r>
                <w:rPr>
                  <w:rStyle w:val="Hyperlink"/>
                </w:rPr>
                <w:t xml:space="preserve">Span</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nline">
              <w:r>
                <w:rPr>
                  <w:rStyle w:val="Hyperlink"/>
                </w:rPr>
                <w:t xml:space="preserve">Inline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Placeholder">
              <w:r>
                <w:rPr>
                  <w:rStyle w:val="Hyperlink"/>
                </w:rPr>
                <w:t xml:space="preserve">Placeholder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lock">
              <w:r>
                <w:rPr>
                  <w:rStyle w:val="Hyperlink"/>
                </w:rPr>
                <w:t xml:space="preserve">Block</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bl>
    <w:bookmarkEnd w:id="308"/>
    <w:bookmarkEnd w:id="309"/>
    <w:bookmarkStart w:id="312" w:name="klasse-textrun"/>
    <w:p>
      <w:pPr>
        <w:pStyle w:val="berschrift3"/>
      </w:pPr>
      <w:r>
        <w:t xml:space="preserve">Klasse: TextRun</w:t>
      </w:r>
      <w:r>
        <w:t xml:space="preserve"> </w:t>
      </w:r>
      <w:bookmarkStart w:id="310" w:name="TextRun"/>
      <w:bookmarkEnd w:id="310"/>
    </w:p>
    <w:p>
      <w:pPr>
        <w:pStyle w:val="FirstParagraph"/>
      </w:pPr>
      <w:r>
        <w:rPr>
          <w:i/>
          <w:iCs/>
        </w:rPr>
        <w:t xml:space="preserve">Ein einfacher Textabschnitt in gemischtem Inhalt. Wird als Textknoten eines mixed-complexType ausgegeben, nicht als Element.</w:t>
      </w:r>
    </w:p>
    <w:bookmarkStart w:id="311"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311"/>
    <w:bookmarkEnd w:id="312"/>
    <w:bookmarkStart w:id="315" w:name="klasse-ref"/>
    <w:p>
      <w:pPr>
        <w:pStyle w:val="berschrift3"/>
      </w:pPr>
      <w:r>
        <w:t xml:space="preserve">Klasse: Ref</w:t>
      </w:r>
      <w:r>
        <w:t xml:space="preserve"> </w:t>
      </w:r>
      <w:bookmarkStart w:id="313" w:name="Ref"/>
      <w:bookmarkEnd w:id="313"/>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314"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314"/>
    <w:bookmarkEnd w:id="315"/>
    <w:bookmarkStart w:id="318" w:name="klasse-authorialnote"/>
    <w:p>
      <w:pPr>
        <w:pStyle w:val="berschrift3"/>
      </w:pPr>
      <w:r>
        <w:t xml:space="preserve">Klasse: AuthorialNote</w:t>
      </w:r>
      <w:r>
        <w:t xml:space="preserve"> </w:t>
      </w:r>
      <w:bookmarkStart w:id="316" w:name="AuthorialNote"/>
      <w:bookmarkEnd w:id="316"/>
    </w:p>
    <w:p>
      <w:pPr>
        <w:pStyle w:val="FirstParagraph"/>
      </w:pPr>
      <w:r>
        <w:rPr>
          <w:i/>
          <w:iCs/>
        </w:rPr>
        <w:t xml:space="preserve">Eine Fussnote des Autors (akn:authorialNote). Rekursiv in Block-Inhalt: enthält ein oder mehrere akn:p-Absätze, die selbst Inline-Inhalt tragen.</w:t>
      </w:r>
    </w:p>
    <w:bookmarkStart w:id="317"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317"/>
    <w:bookmarkEnd w:id="318"/>
    <w:bookmarkStart w:id="321" w:name="klasse-inline"/>
    <w:p>
      <w:pPr>
        <w:pStyle w:val="berschrift3"/>
      </w:pPr>
      <w:r>
        <w:t xml:space="preserve">Klasse: Inline</w:t>
      </w:r>
      <w:r>
        <w:t xml:space="preserve"> </w:t>
      </w:r>
      <w:bookmarkStart w:id="319" w:name="Inline"/>
      <w:bookmarkEnd w:id="319"/>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320"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320"/>
    <w:bookmarkEnd w:id="321"/>
    <w:bookmarkStart w:id="324" w:name="klasse-placeholder"/>
    <w:p>
      <w:pPr>
        <w:pStyle w:val="berschrift3"/>
      </w:pPr>
      <w:r>
        <w:t xml:space="preserve">Klasse: Placeholder</w:t>
      </w:r>
      <w:r>
        <w:t xml:space="preserve"> </w:t>
      </w:r>
      <w:bookmarkStart w:id="322" w:name="Placeholder"/>
      <w:bookmarkEnd w:id="322"/>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323"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323"/>
    <w:bookmarkEnd w:id="324"/>
    <w:bookmarkStart w:id="327" w:name="klasse-span"/>
    <w:p>
      <w:pPr>
        <w:pStyle w:val="berschrift3"/>
      </w:pPr>
      <w:r>
        <w:t xml:space="preserve">Klasse: Span</w:t>
      </w:r>
      <w:r>
        <w:t xml:space="preserve"> </w:t>
      </w:r>
      <w:bookmarkStart w:id="325" w:name="Span"/>
      <w:bookmarkEnd w:id="325"/>
    </w:p>
    <w:p>
      <w:pPr>
        <w:pStyle w:val="FirstParagraph"/>
      </w:pPr>
      <w:r>
        <w:rPr>
          <w:i/>
          <w:iCs/>
        </w:rPr>
        <w:t xml:space="preserve">Generischer Inline-Bereich (akn:span).</w:t>
      </w:r>
    </w:p>
    <w:bookmarkStart w:id="326"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326"/>
    <w:bookmarkEnd w:id="327"/>
    <w:bookmarkStart w:id="330" w:name="klasse-b"/>
    <w:p>
      <w:pPr>
        <w:pStyle w:val="berschrift3"/>
      </w:pPr>
      <w:r>
        <w:t xml:space="preserve">Klasse: B</w:t>
      </w:r>
      <w:r>
        <w:t xml:space="preserve"> </w:t>
      </w:r>
      <w:bookmarkStart w:id="328" w:name="B"/>
      <w:bookmarkEnd w:id="328"/>
    </w:p>
    <w:p>
      <w:pPr>
        <w:pStyle w:val="FirstParagraph"/>
      </w:pPr>
      <w:r>
        <w:rPr>
          <w:i/>
          <w:iCs/>
        </w:rPr>
        <w:t xml:space="preserve">Fett-Inline-Markup (akn:b).</w:t>
      </w:r>
    </w:p>
    <w:bookmarkStart w:id="329"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329"/>
    <w:bookmarkEnd w:id="330"/>
    <w:bookmarkStart w:id="333" w:name="klasse-i"/>
    <w:p>
      <w:pPr>
        <w:pStyle w:val="berschrift3"/>
      </w:pPr>
      <w:r>
        <w:t xml:space="preserve">Klasse: I</w:t>
      </w:r>
      <w:r>
        <w:t xml:space="preserve"> </w:t>
      </w:r>
      <w:bookmarkStart w:id="331" w:name="I"/>
      <w:bookmarkEnd w:id="331"/>
    </w:p>
    <w:p>
      <w:pPr>
        <w:pStyle w:val="FirstParagraph"/>
      </w:pPr>
      <w:r>
        <w:rPr>
          <w:i/>
          <w:iCs/>
        </w:rPr>
        <w:t xml:space="preserve">Kursiv-Inline-Markup (akn:i).</w:t>
      </w:r>
    </w:p>
    <w:bookmarkStart w:id="332"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332"/>
    <w:bookmarkEnd w:id="333"/>
    <w:bookmarkStart w:id="336" w:name="klasse-sup"/>
    <w:p>
      <w:pPr>
        <w:pStyle w:val="berschrift3"/>
      </w:pPr>
      <w:r>
        <w:t xml:space="preserve">Klasse: Sup</w:t>
      </w:r>
      <w:r>
        <w:t xml:space="preserve"> </w:t>
      </w:r>
      <w:bookmarkStart w:id="334" w:name="Sup"/>
      <w:bookmarkEnd w:id="334"/>
    </w:p>
    <w:p>
      <w:pPr>
        <w:pStyle w:val="FirstParagraph"/>
      </w:pPr>
      <w:r>
        <w:rPr>
          <w:i/>
          <w:iCs/>
        </w:rPr>
        <w:t xml:space="preserve">Hochgestelltes Inline-Markup (akn:sup).</w:t>
      </w:r>
    </w:p>
    <w:bookmarkStart w:id="335"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335"/>
    <w:bookmarkEnd w:id="336"/>
    <w:bookmarkStart w:id="339" w:name="klasse-br"/>
    <w:p>
      <w:pPr>
        <w:pStyle w:val="berschrift3"/>
      </w:pPr>
      <w:r>
        <w:t xml:space="preserve">Klasse: Br</w:t>
      </w:r>
      <w:r>
        <w:t xml:space="preserve"> </w:t>
      </w:r>
      <w:bookmarkStart w:id="337" w:name="Br"/>
      <w:bookmarkEnd w:id="337"/>
    </w:p>
    <w:p>
      <w:pPr>
        <w:pStyle w:val="FirstParagraph"/>
      </w:pPr>
      <w:r>
        <w:rPr>
          <w:i/>
          <w:iCs/>
        </w:rPr>
        <w:t xml:space="preserve">Ein Zeilenumbruch (akn:br). In der (derzeit deaktivierten) Regel FLX-TXT-001 ist br auf Überschriften-Elemente beschränkt.</w:t>
      </w:r>
    </w:p>
    <w:bookmarkStart w:id="338"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338"/>
    <w:bookmarkEnd w:id="339"/>
    <w:bookmarkStart w:id="342" w:name="typ-xmlcontent"/>
    <w:p>
      <w:pPr>
        <w:pStyle w:val="berschrift2"/>
      </w:pPr>
      <w:r>
        <w:t xml:space="preserve">Typ: XmlContent</w:t>
      </w:r>
      <w:r>
        <w:t xml:space="preserve"> </w:t>
      </w:r>
      <w:bookmarkStart w:id="340" w:name="XmlContent"/>
      <w:bookmarkEnd w:id="340"/>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120">
        <w:r>
          <w:rPr>
            <w:rStyle w:val="Hyperlink"/>
          </w:rPr>
          <w:t xml:space="preserve">xsd:string</w:t>
        </w:r>
      </w:hyperlink>
    </w:p>
    <w:bookmarkStart w:id="341"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0">
              <w:r>
                <w:rPr>
                  <w:rStyle w:val="Hyperlink"/>
                </w:rPr>
                <w:t xml:space="preserve">xsd:string</w:t>
              </w:r>
            </w:hyperlink>
          </w:p>
        </w:tc>
      </w:tr>
    </w:tbl>
    <w:bookmarkEnd w:id="341"/>
    <w:p>
      <w:r>
        <w:br w:type="page"/>
      </w:r>
    </w:p>
    <w:bookmarkEnd w:id="342"/>
    <w:bookmarkEnd w:id="343"/>
    <w:bookmarkStart w:id="402"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350" w:name="klasse-actmeta"/>
    <w:p>
      <w:pPr>
        <w:pStyle w:val="berschrift3"/>
      </w:pPr>
      <w:r>
        <w:t xml:space="preserve">Klasse: ActMeta</w:t>
      </w:r>
      <w:r>
        <w:t xml:space="preserve"> </w:t>
      </w:r>
      <w:bookmarkStart w:id="344" w:name="ActMeta"/>
      <w:bookmarkEnd w:id="344"/>
    </w:p>
    <w:p>
      <w:pPr>
        <w:pStyle w:val="FirstParagraph"/>
      </w:pPr>
      <w:r>
        <w:rPr>
          <w:i/>
          <w:iCs/>
        </w:rPr>
        <w:t xml:space="preserve">Metadaten-Abschnitt des Erlasses (akn:meta). Enthält die FRBR-Identifikation (Work-, Expression-, Manifestations-Ebene) sowie benannte Referenz-Definitionen.</w:t>
      </w:r>
    </w:p>
    <w:bookmarkStart w:id="345"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bl>
    <w:bookmarkEnd w:id="345"/>
    <w:bookmarkStart w:id="346" w:name="verwendungen-4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r>
        <w:tc>
          <w:tcPr/>
          <w:p>
            <w:pPr>
              <w:pStyle w:val="Compact"/>
            </w:pPr>
            <w:hyperlink w:anchor="Doc">
              <w:r>
                <w:rPr>
                  <w:rStyle w:val="Hyperlink"/>
                </w:rPr>
                <w:t xml:space="preserve">Doc</w:t>
              </w:r>
            </w:hyperlink>
          </w:p>
        </w:tc>
        <w:tc>
          <w:tcPr/>
          <w:p>
            <w:pPr>
              <w:pStyle w:val="Compact"/>
            </w:pPr>
            <w:r>
              <w:t xml:space="preserve">meta</w:t>
            </w:r>
          </w:p>
        </w:tc>
        <w:tc>
          <w:tcPr/>
          <w:p>
            <w:pPr>
              <w:pStyle w:val="Compact"/>
            </w:pPr>
            <w:r>
              <w:t xml:space="preserve">range</w:t>
            </w:r>
          </w:p>
        </w:tc>
        <w:tc>
          <w:tcPr/>
          <w:p>
            <w:pPr>
              <w:pStyle w:val="Compact"/>
            </w:pPr>
            <w:hyperlink w:anchor="ActMeta">
              <w:r>
                <w:rPr>
                  <w:rStyle w:val="Hyperlink"/>
                </w:rPr>
                <w:t xml:space="preserve">ActMeta</w:t>
              </w:r>
            </w:hyperlink>
          </w:p>
        </w:tc>
      </w:tr>
    </w:tbl>
    <w:bookmarkEnd w:id="346"/>
    <w:bookmarkStart w:id="349" w:name="beispiele-16"/>
    <w:p>
      <w:pPr>
        <w:pStyle w:val="berschrift4"/>
      </w:pPr>
      <w:r>
        <w:t xml:space="preserve">Beispiele</w:t>
      </w:r>
    </w:p>
    <w:bookmarkStart w:id="347" w:name="beispiel-actmeta-sr101-excerpt-1-1"/>
    <w:p>
      <w:pPr>
        <w:pStyle w:val="berschrift5"/>
      </w:pPr>
      <w:r>
        <w:t xml:space="preserve">Beispiel ActMeta: sr101 excerpt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47"/>
    <w:bookmarkStart w:id="348" w:name="beispiel-actmeta-bgoe-excerpt-1-1"/>
    <w:p>
      <w:pPr>
        <w:pStyle w:val="berschrift5"/>
      </w:pPr>
      <w:r>
        <w:t xml:space="preserve">Beispiel ActMeta: bgoe excerpt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48"/>
    <w:bookmarkEnd w:id="349"/>
    <w:bookmarkEnd w:id="350"/>
    <w:bookmarkStart w:id="380"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357" w:name="klasse-references"/>
    <w:p>
      <w:pPr>
        <w:pStyle w:val="berschrift3"/>
      </w:pPr>
      <w:r>
        <w:t xml:space="preserve">Klasse: References</w:t>
      </w:r>
      <w:r>
        <w:t xml:space="preserve"> </w:t>
      </w:r>
      <w:bookmarkStart w:id="351" w:name="References"/>
      <w:bookmarkEnd w:id="351"/>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352"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bl>
    <w:bookmarkEnd w:id="352"/>
    <w:bookmarkStart w:id="353" w:name="verwendungen-4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353"/>
    <w:bookmarkStart w:id="356" w:name="beispiele-17"/>
    <w:p>
      <w:pPr>
        <w:pStyle w:val="berschrift4"/>
      </w:pPr>
      <w:r>
        <w:t xml:space="preserve">Beispiele</w:t>
      </w:r>
    </w:p>
    <w:bookmarkStart w:id="354" w:name="beispiel-references-sr101-excerpt-1-1"/>
    <w:p>
      <w:pPr>
        <w:pStyle w:val="berschrift5"/>
      </w:pPr>
      <w:r>
        <w:t xml:space="preserve">Beispiel References: sr101 excerpt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54"/>
    <w:bookmarkStart w:id="355" w:name="beispiel-references-bgoe-excerpt-1-1"/>
    <w:p>
      <w:pPr>
        <w:pStyle w:val="berschrift5"/>
      </w:pPr>
      <w:r>
        <w:t xml:space="preserve">Beispiel References: bgoe excerpt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55"/>
    <w:bookmarkEnd w:id="356"/>
    <w:bookmarkEnd w:id="357"/>
    <w:bookmarkStart w:id="363" w:name="klasse-tlcorganization"/>
    <w:p>
      <w:pPr>
        <w:pStyle w:val="berschrift3"/>
      </w:pPr>
      <w:r>
        <w:t xml:space="preserve">Klasse: TLCOrganization</w:t>
      </w:r>
      <w:r>
        <w:t xml:space="preserve"> </w:t>
      </w:r>
      <w:bookmarkStart w:id="358" w:name="TLCOrganization"/>
      <w:bookmarkEnd w:id="358"/>
    </w:p>
    <w:p>
      <w:pPr>
        <w:pStyle w:val="FirstParagraph"/>
      </w:pPr>
      <w:r>
        <w:rPr>
          <w:i/>
          <w:iCs/>
        </w:rPr>
        <w:t xml:space="preserve">Eine benannte Organisation als Referenz im Dokument (akn:TLCOrganization). Beispiel: die Bundeskanzlei (ch.bk).</w:t>
      </w:r>
    </w:p>
    <w:bookmarkStart w:id="359"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359"/>
    <w:bookmarkStart w:id="360"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360"/>
    <w:bookmarkStart w:id="362" w:name="beispiele-18"/>
    <w:p>
      <w:pPr>
        <w:pStyle w:val="berschrift4"/>
      </w:pPr>
      <w:r>
        <w:t xml:space="preserve">Beispiele</w:t>
      </w:r>
    </w:p>
    <w:bookmarkStart w:id="361" w:name="X32dcc3b1d19b73d9a31a211d1e04e02190b73a6"/>
    <w:p>
      <w:pPr>
        <w:pStyle w:val="berschrift5"/>
      </w:pPr>
      <w:r>
        <w:t xml:space="preserve">Beispiel TLCOrganization: Deklaration der publizierenden Stelle</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p>
    <w:bookmarkEnd w:id="361"/>
    <w:bookmarkEnd w:id="362"/>
    <w:bookmarkEnd w:id="363"/>
    <w:bookmarkStart w:id="371" w:name="klasse-tlcrole"/>
    <w:p>
      <w:pPr>
        <w:pStyle w:val="berschrift3"/>
      </w:pPr>
      <w:r>
        <w:t xml:space="preserve">Klasse: TLCRole</w:t>
      </w:r>
      <w:r>
        <w:t xml:space="preserve"> </w:t>
      </w:r>
      <w:bookmarkStart w:id="364" w:name="TLCRole"/>
      <w:bookmarkEnd w:id="364"/>
    </w:p>
    <w:p>
      <w:pPr>
        <w:pStyle w:val="FirstParagraph"/>
      </w:pPr>
      <w:r>
        <w:rPr>
          <w:i/>
          <w:iCs/>
        </w:rPr>
        <w:t xml:space="preserve">Eine benannte Rolle als Referenz im Dokument (akn:TLCRole). Beispiele: publisher, rightsHolder.</w:t>
      </w:r>
    </w:p>
    <w:bookmarkStart w:id="365" w:name="attribute-5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365"/>
    <w:bookmarkStart w:id="366" w:name="verwendungen-4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366"/>
    <w:bookmarkStart w:id="370" w:name="beispiele-19"/>
    <w:p>
      <w:pPr>
        <w:pStyle w:val="berschrift4"/>
      </w:pPr>
      <w:r>
        <w:t xml:space="preserve">Beispiele</w:t>
      </w:r>
    </w:p>
    <w:bookmarkStart w:id="367" w:name="beispiel-tlcrole-sr101-excerpt-1-2"/>
    <w:p>
      <w:pPr>
        <w:pStyle w:val="berschrift5"/>
      </w:pPr>
      <w:r>
        <w:t xml:space="preserve">Beispiel TLCRole: sr101 excerpt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67"/>
    <w:bookmarkStart w:id="368" w:name="beispiel-tlcrole-bgoe-excerpt-1-2"/>
    <w:p>
      <w:pPr>
        <w:pStyle w:val="berschrift5"/>
      </w:pPr>
      <w:r>
        <w:t xml:space="preserve">Beispiel TLCRole: bgoe excerpt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68"/>
    <w:bookmarkStart w:id="369" w:name="Xb4c85fe1092d910d6ad07b5d51bcc11d332af45"/>
    <w:p>
      <w:pPr>
        <w:pStyle w:val="berschrift5"/>
      </w:pPr>
      <w:r>
        <w:t xml:space="preserve">Beispiel TLCRole: Role publisher as an anchor</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p>
    <w:bookmarkEnd w:id="369"/>
    <w:bookmarkEnd w:id="370"/>
    <w:bookmarkEnd w:id="371"/>
    <w:bookmarkStart w:id="375" w:name="klasse-tlcreference"/>
    <w:p>
      <w:pPr>
        <w:pStyle w:val="berschrift3"/>
      </w:pPr>
      <w:r>
        <w:t xml:space="preserve">Klasse: TLCReference</w:t>
      </w:r>
      <w:r>
        <w:t xml:space="preserve"> </w:t>
      </w:r>
      <w:bookmarkStart w:id="372" w:name="TLCReference"/>
      <w:bookmarkEnd w:id="372"/>
    </w:p>
    <w:p>
      <w:pPr>
        <w:pStyle w:val="FirstParagraph"/>
      </w:pPr>
      <w:r>
        <w:rPr>
          <w:i/>
          <w:iCs/>
        </w:rPr>
        <w:t xml:space="preserve">Eine generische benannte Referenz im Dokument (akn:TLCReference). Für Referenzen, die nicht TLCOrganization oder TLCRole entsprechen.</w:t>
      </w:r>
    </w:p>
    <w:bookmarkStart w:id="373" w:name="attribute-5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373"/>
    <w:bookmarkStart w:id="374" w:name="verwendungen-4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374"/>
    <w:bookmarkEnd w:id="375"/>
    <w:bookmarkStart w:id="379" w:name="enum-fedlexroleenum"/>
    <w:p>
      <w:pPr>
        <w:pStyle w:val="berschrift3"/>
      </w:pPr>
      <w:r>
        <w:t xml:space="preserve">Enum: FedlexRoleEnum</w:t>
      </w:r>
      <w:r>
        <w:t xml:space="preserve"> </w:t>
      </w:r>
      <w:bookmarkStart w:id="376" w:name="FedlexRoleEnum"/>
      <w:bookmarkEnd w:id="376"/>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377">
        <w:r>
          <w:rPr>
            <w:rStyle w:val="Hyperlink"/>
          </w:rPr>
          <w:t xml:space="preserve">laws:FedlexRoleEnum</w:t>
        </w:r>
      </w:hyperlink>
    </w:p>
    <w:bookmarkStart w:id="378"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bl>
    <w:bookmarkEnd w:id="378"/>
    <w:bookmarkEnd w:id="379"/>
    <w:bookmarkEnd w:id="380"/>
    <w:bookmarkStart w:id="401"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384" w:name="klasse-valuetype"/>
    <w:p>
      <w:pPr>
        <w:pStyle w:val="berschrift3"/>
      </w:pPr>
      <w:r>
        <w:t xml:space="preserve">Klasse: ValueType</w:t>
      </w:r>
      <w:r>
        <w:t xml:space="preserve"> </w:t>
      </w:r>
      <w:bookmarkStart w:id="381" w:name="ValueType"/>
      <w:bookmarkEnd w:id="381"/>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382" w:name="attribute-5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382"/>
    <w:bookmarkStart w:id="383" w:name="verwendungen-4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frbr_number</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383"/>
    <w:bookmarkEnd w:id="384"/>
    <w:bookmarkStart w:id="388" w:name="klasse-urivaluetype"/>
    <w:p>
      <w:pPr>
        <w:pStyle w:val="berschrift3"/>
      </w:pPr>
      <w:r>
        <w:t xml:space="preserve">Klasse: UriValueType</w:t>
      </w:r>
      <w:r>
        <w:t xml:space="preserve"> </w:t>
      </w:r>
      <w:bookmarkStart w:id="385" w:name="UriValueType"/>
      <w:bookmarkEnd w:id="385"/>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386" w:name="attribute-5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386"/>
    <w:bookmarkStart w:id="387" w:name="verwendungen-4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387"/>
    <w:bookmarkEnd w:id="388"/>
    <w:bookmarkStart w:id="392" w:name="klasse-languagetype"/>
    <w:p>
      <w:pPr>
        <w:pStyle w:val="berschrift3"/>
      </w:pPr>
      <w:r>
        <w:t xml:space="preserve">Klasse: LanguageType</w:t>
      </w:r>
      <w:r>
        <w:t xml:space="preserve"> </w:t>
      </w:r>
      <w:bookmarkStart w:id="389" w:name="LanguageType"/>
      <w:bookmarkEnd w:id="389"/>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390" w:name="attribute-5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390"/>
    <w:bookmarkStart w:id="391" w:name="verwendungen-4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391"/>
    <w:bookmarkEnd w:id="392"/>
    <w:bookmarkStart w:id="396" w:name="klasse-formattype"/>
    <w:p>
      <w:pPr>
        <w:pStyle w:val="berschrift3"/>
      </w:pPr>
      <w:r>
        <w:t xml:space="preserve">Klasse: FormatType</w:t>
      </w:r>
      <w:r>
        <w:t xml:space="preserve"> </w:t>
      </w:r>
      <w:bookmarkStart w:id="393" w:name="FormatType"/>
      <w:bookmarkEnd w:id="393"/>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394" w:name="attribute-5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394"/>
    <w:bookmarkStart w:id="395" w:name="verwendungen-4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395"/>
    <w:bookmarkEnd w:id="396"/>
    <w:bookmarkStart w:id="400" w:name="enum-documentlanguageenum"/>
    <w:p>
      <w:pPr>
        <w:pStyle w:val="berschrift3"/>
      </w:pPr>
      <w:r>
        <w:t xml:space="preserve">Enum: DocumentLanguageEnum</w:t>
      </w:r>
      <w:r>
        <w:t xml:space="preserve"> </w:t>
      </w:r>
      <w:bookmarkStart w:id="397" w:name="DocumentLanguageEnum"/>
      <w:bookmarkEnd w:id="397"/>
    </w:p>
    <w:p>
      <w:pPr>
        <w:pStyle w:val="FirstParagraph"/>
      </w:pPr>
      <w:r>
        <w:rPr>
          <w:i/>
          <w:iCs/>
        </w:rPr>
        <w:t xml:space="preserve">Sprachcodes für schweizerische Bundesdokumente.</w:t>
      </w:r>
    </w:p>
    <w:p>
      <w:pPr>
        <w:pStyle w:val="Textkrper"/>
      </w:pPr>
      <w:r>
        <w:t xml:space="preserve">URI:</w:t>
      </w:r>
      <w:r>
        <w:t xml:space="preserve"> </w:t>
      </w:r>
      <w:hyperlink ns1:id="rId398">
        <w:r>
          <w:rPr>
            <w:rStyle w:val="Hyperlink"/>
          </w:rPr>
          <w:t xml:space="preserve">laws:DocumentLanguageEnum</w:t>
        </w:r>
      </w:hyperlink>
    </w:p>
    <w:bookmarkStart w:id="399"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bl>
    <w:bookmarkEnd w:id="399"/>
    <w:p>
      <w:r>
        <w:br w:type="page"/>
      </w:r>
    </w:p>
    <w:bookmarkEnd w:id="400"/>
    <w:bookmarkEnd w:id="401"/>
    <w:bookmarkEnd w:id="402"/>
    <w:bookmarkStart w:id="419" w:name="anhang-a-referenzen-bibliographie"/>
    <w:p>
      <w:pPr>
        <w:pStyle w:val="berschrift1"/>
      </w:pPr>
      <w:r>
        <w:t xml:space="preserve">Anhang A – Referenzen &amp; Bibliographie</w:t>
      </w:r>
    </w:p>
    <w:bookmarkStart w:id="408"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403">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404">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405">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406">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407">
              <w:r>
                <w:rPr>
                  <w:rStyle w:val="Hyperlink"/>
                </w:rPr>
                <w:t xml:space="preserve">https://www.ech.ch/de/ech/ech-0297</w:t>
              </w:r>
            </w:hyperlink>
          </w:p>
        </w:tc>
      </w:tr>
    </w:tbl>
    <w:bookmarkEnd w:id="408"/>
    <w:bookmarkStart w:id="411"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409">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410">
              <w:r>
                <w:rPr>
                  <w:rStyle w:val="Hyperlink"/>
                </w:rPr>
                <w:t xml:space="preserve">https://www.ech.ch/de/ech/ech-0003</w:t>
              </w:r>
            </w:hyperlink>
          </w:p>
        </w:tc>
      </w:tr>
    </w:tbl>
    <w:bookmarkEnd w:id="411"/>
    <w:bookmarkStart w:id="417"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412">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413">
              <w:r>
                <w:rPr>
                  <w:rStyle w:val="Hyperlink"/>
                </w:rPr>
                <w:t xml:space="preserve">https://op.europa.eu/en/web/eu-vocabularies/eli</w:t>
              </w:r>
            </w:hyperlink>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414">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415">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416">
              <w:r>
                <w:rPr>
                  <w:rStyle w:val="Hyperlink"/>
                </w:rPr>
                <w:t xml:space="preserve">https://www.fedlex.admin.ch</w:t>
              </w:r>
            </w:hyperlink>
          </w:p>
        </w:tc>
      </w:tr>
    </w:tbl>
    <w:bookmarkEnd w:id="417"/>
    <w:bookmarkStart w:id="418"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418"/>
    <w:bookmarkEnd w:id="419"/>
    <w:bookmarkStart w:id="420"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steht noch aus. Sie kommt an dieselbe Stelle — als weiterer Eintrag bei den betroffenen Elementen — und erscheint dann ohne weiteres Zutun in dieser Tabelle und im Mapping-Set.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akn:FRBRWork</w:t>
            </w:r>
          </w:p>
        </w:tc>
      </w:tr>
      <w:tr>
        <w:tc>
          <w:tcPr/>
          <w:p>
            <w:pPr>
              <w:pStyle w:val="Compact"/>
            </w:pPr>
            <w:r>
              <w:rPr>
                <w:rStyle w:val="VerbatimChar"/>
              </w:rPr>
              <w:t xml:space="preserve">FRBRWork</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eli:LegalResource</w:t>
            </w:r>
          </w:p>
        </w:tc>
      </w:tr>
      <w:tr>
        <w:tc>
          <w:tcPr>
            <w:shd w:val="clear" w:color="auto" w:fill="F2F2F2"/>
          </w:tcPr>
          <w:p>
            <w:pPr>
              <w:pStyle w:val="Compact"/>
            </w:pPr>
            <w:r>
              <w:rPr>
                <w:rStyle w:val="VerbatimChar"/>
              </w:rPr>
              <w:t xml:space="preserve">FRBRExpression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akn:FRBRExpression</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eli:LegalExpression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akn:FRBRManifestation</w:t>
            </w:r>
          </w:p>
        </w:tc>
      </w:tr>
      <w:tr>
        <w:tc>
          <w:tcPr/>
          <w:p>
            <w:pPr>
              <w:pStyle w:val="Compact"/>
            </w:pPr>
            <w:r>
              <w:rPr>
                <w:rStyle w:val="VerbatimChar"/>
              </w:rPr>
              <w:t xml:space="preserve">FRBRManifestation</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eli:Format</w:t>
            </w:r>
          </w:p>
        </w:tc>
      </w:tr>
      <w:tr>
        <w:tc>
          <w:tcPr>
            <w:shd w:val="clear" w:color="auto" w:fill="F2F2F2"/>
          </w:tcPr>
          <w:p>
            <w:pPr>
              <w:pStyle w:val="Compact"/>
            </w:pPr>
            <w:r>
              <w:rPr>
                <w:rStyle w:val="VerbatimChar"/>
              </w:rPr>
              <w:t xml:space="preserve">FRBRDate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akn:FRBRdate</w:t>
            </w:r>
          </w:p>
        </w:tc>
      </w:tr>
      <w:tr>
        <w:tc>
          <w:tcPr/>
          <w:p>
            <w:pPr>
              <w:pStyle w:val="Compact"/>
            </w:pPr>
            <w:r>
              <w:rPr>
                <w:rStyle w:val="VerbatimChar"/>
              </w:rPr>
              <w:t xml:space="preserve">FRBRAuthor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akn:FRBRauthor</w:t>
            </w:r>
          </w:p>
        </w:tc>
      </w:tr>
      <w:tr>
        <w:tc>
          <w:tcPr>
            <w:shd w:val="clear" w:color="auto" w:fill="F2F2F2"/>
          </w:tcPr>
          <w:p>
            <w:pPr>
              <w:pStyle w:val="Compact"/>
            </w:pPr>
            <w:r>
              <w:rPr>
                <w:rStyle w:val="VerbatimChar"/>
              </w:rPr>
              <w:t xml:space="preserve">FRBRName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akn:FRBRname</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eli:title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Components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MainBody</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r>
        <w:tc>
          <w:tcPr/>
          <w:p>
            <w:pPr>
              <w:pStyle w:val="Compact"/>
            </w:pPr>
            <w:r>
              <w:rPr>
                <w:rStyle w:val="VerbatimChar"/>
              </w:rPr>
              <w:t xml:space="preserve">preface_paragraphs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frbr_this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akn:FRBRthis</w:t>
            </w:r>
          </w:p>
        </w:tc>
      </w:tr>
      <w:tr>
        <w:tc>
          <w:tcPr/>
          <w:p>
            <w:pPr>
              <w:pStyle w:val="Compact"/>
            </w:pPr>
            <w:r>
              <w:rPr>
                <w:rStyle w:val="VerbatimChar"/>
              </w:rPr>
              <w:t xml:space="preserve">frbr_uri</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akn:FRBRuri</w:t>
            </w:r>
          </w:p>
        </w:tc>
      </w:tr>
      <w:tr>
        <w:tc>
          <w:tcPr>
            <w:shd w:val="clear" w:color="auto" w:fill="F2F2F2"/>
          </w:tcPr>
          <w:p>
            <w:pPr>
              <w:pStyle w:val="Compact"/>
            </w:pPr>
            <w:r>
              <w:rPr>
                <w:rStyle w:val="VerbatimChar"/>
              </w:rPr>
              <w:t xml:space="preserve">frbr_authors</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eli:passed_by</w:t>
            </w:r>
          </w:p>
        </w:tc>
      </w:tr>
      <w:tr>
        <w:tc>
          <w:tcPr/>
          <w:p>
            <w:pPr>
              <w:pStyle w:val="Compact"/>
            </w:pPr>
            <w:r>
              <w:rPr>
                <w:rStyle w:val="VerbatimChar"/>
              </w:rPr>
              <w:t xml:space="preserve">frbr_country</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akn:FRBRcountry</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eli:jurisdiction</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akn:FRBRnumber</w:t>
            </w:r>
          </w:p>
        </w:tc>
      </w:tr>
      <w:tr>
        <w:tc>
          <w:tcPr>
            <w:shd w:val="clear" w:color="auto" w:fill="F2F2F2"/>
          </w:tcPr>
          <w:p>
            <w:pPr>
              <w:pStyle w:val="Compact"/>
            </w:pPr>
            <w:r>
              <w:rPr>
                <w:rStyle w:val="VerbatimChar"/>
              </w:rPr>
              <w:t xml:space="preserve">frbr_number</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eli:number</w:t>
            </w:r>
          </w:p>
        </w:tc>
      </w:tr>
      <w:tr>
        <w:tc>
          <w:tcPr/>
          <w:p>
            <w:pPr>
              <w:pStyle w:val="Compact"/>
            </w:pPr>
            <w:r>
              <w:rPr>
                <w:rStyle w:val="VerbatimChar"/>
              </w:rPr>
              <w:t xml:space="preserve">frbr_authoritative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akn:FRBRauthoritative</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eli:legal_value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akn:FRBRlanguage</w:t>
            </w:r>
          </w:p>
        </w:tc>
      </w:tr>
      <w:tr>
        <w:tc>
          <w:tcPr>
            <w:shd w:val="clear" w:color="auto" w:fill="F2F2F2"/>
          </w:tcPr>
          <w:p>
            <w:pPr>
              <w:pStyle w:val="Compact"/>
            </w:pPr>
            <w:r>
              <w:rPr>
                <w:rStyle w:val="VerbatimChar"/>
              </w:rPr>
              <w:t xml:space="preserve">frbr_language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eli:language</w:t>
            </w:r>
          </w:p>
        </w:tc>
      </w:tr>
      <w:tr>
        <w:tc>
          <w:tcPr/>
          <w:p>
            <w:pPr>
              <w:pStyle w:val="Compact"/>
            </w:pPr>
            <w:r>
              <w:rPr>
                <w:rStyle w:val="VerbatimChar"/>
              </w:rPr>
              <w:t xml:space="preserve">frbr_format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akn:FRBRformat</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doc_number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doc_title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num</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akn:num</w:t>
            </w:r>
          </w:p>
        </w:tc>
      </w:tr>
      <w:tr>
        <w:tc>
          <w:tcPr>
            <w:shd w:val="clear" w:color="auto" w:fill="F2F2F2"/>
          </w:tcPr>
          <w:p>
            <w:pPr>
              <w:pStyle w:val="Compact"/>
            </w:pPr>
            <w:r>
              <w:rPr>
                <w:rStyle w:val="VerbatimChar"/>
              </w:rPr>
              <w:t xml:space="preserve">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akn:heading</w:t>
            </w:r>
          </w:p>
        </w:tc>
      </w:tr>
      <w:tr>
        <w:tc>
          <w:tcPr/>
          <w:p>
            <w:pPr>
              <w:pStyle w:val="Compact"/>
            </w:pPr>
            <w:r>
              <w:rPr>
                <w:rStyle w:val="VerbatimChar"/>
              </w:rPr>
              <w:t xml:space="preserve">subheading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akn:subheading</w:t>
            </w:r>
          </w:p>
        </w:tc>
      </w:tr>
      <w:tr>
        <w:tc>
          <w:tcPr>
            <w:shd w:val="clear" w:color="auto" w:fill="F2F2F2"/>
          </w:tcPr>
          <w:p>
            <w:pPr>
              <w:pStyle w:val="Compact"/>
            </w:pPr>
            <w:r>
              <w:rPr>
                <w:rStyle w:val="VerbatimChar"/>
              </w:rPr>
              <w:t xml:space="preserve">list_introduction</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akn:listIntroduction</w:t>
            </w:r>
          </w:p>
        </w:tc>
      </w:tr>
      <w:tr>
        <w:tc>
          <w:tcPr/>
          <w:p>
            <w:pPr>
              <w:pStyle w:val="Compact"/>
            </w:pPr>
            <w:r>
              <w:rPr>
                <w:rStyle w:val="VerbatimChar"/>
              </w:rPr>
              <w:t xml:space="preserve">components_ref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component_list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main_body</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bl>
    <w:bookmarkEnd w:id="42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12" Target="http://docs.oasis-open.org/legaldocml/akn-core/v1.0/" TargetMode="External" /><Relationship Type="http://schemas.openxmlformats.org/officeDocument/2006/relationships/hyperlink" Id="rId414" Target="http://iflastandards.info/ns/fr/frbr/frbroo/" TargetMode="External" /><Relationship Type="http://schemas.openxmlformats.org/officeDocument/2006/relationships/hyperlink" Id="rId116" Target="http://www.w3.org/2001/XMLSchema#anyURI" TargetMode="External" /><Relationship Type="http://schemas.openxmlformats.org/officeDocument/2006/relationships/hyperlink" Id="rId120"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135" Target="https://ld.ech.ch/schema/0296/laws/ActTypeEnum" TargetMode="External" /><Relationship Type="http://schemas.openxmlformats.org/officeDocument/2006/relationships/hyperlink" Id="rId297" Target="https://ld.ech.ch/schema/0296/laws/BlockNameEnum" TargetMode="External" /><Relationship Type="http://schemas.openxmlformats.org/officeDocument/2006/relationships/hyperlink" Id="rId289" Target="https://ld.ech.ch/schema/0296/laws/ContainerNameEnum" TargetMode="External" /><Relationship Type="http://schemas.openxmlformats.org/officeDocument/2006/relationships/hyperlink" Id="rId274" Target="https://ld.ech.ch/schema/0296/laws/DocNameEnum" TargetMode="External" /><Relationship Type="http://schemas.openxmlformats.org/officeDocument/2006/relationships/hyperlink" Id="rId398" Target="https://ld.ech.ch/schema/0296/laws/DocumentLanguageEnum" TargetMode="External" /><Relationship Type="http://schemas.openxmlformats.org/officeDocument/2006/relationships/hyperlink" Id="rId377" Target="https://ld.ech.ch/schema/0296/laws/FedlexRoleEnum" TargetMode="External" /><Relationship Type="http://schemas.openxmlformats.org/officeDocument/2006/relationships/hyperlink" Id="rId413"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410" Target="https://www.ech.ch/de/ech/ech-0003" TargetMode="External" /><Relationship Type="http://schemas.openxmlformats.org/officeDocument/2006/relationships/hyperlink" Id="rId409" Target="https://www.ech.ch/de/ech/ech-0122" TargetMode="External" /><Relationship Type="http://schemas.openxmlformats.org/officeDocument/2006/relationships/hyperlink" Id="rId403" Target="https://www.ech.ch/de/ech/ech-0292" TargetMode="External" /><Relationship Type="http://schemas.openxmlformats.org/officeDocument/2006/relationships/hyperlink" Id="rId404" Target="https://www.ech.ch/de/ech/ech-0293" TargetMode="External" /><Relationship Type="http://schemas.openxmlformats.org/officeDocument/2006/relationships/hyperlink" Id="rId405" Target="https://www.ech.ch/de/ech/ech-0294" TargetMode="External" /><Relationship Type="http://schemas.openxmlformats.org/officeDocument/2006/relationships/hyperlink" Id="rId406" Target="https://www.ech.ch/de/ech/ech-0295" TargetMode="External" /><Relationship Type="http://schemas.openxmlformats.org/officeDocument/2006/relationships/hyperlink" Id="rId407" Target="https://www.ech.ch/de/ech/ech-0297" TargetMode="External" /><Relationship Type="http://schemas.openxmlformats.org/officeDocument/2006/relationships/hyperlink" Id="rId416"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415" Target="https://www.rfc-editor.org/rfc/rfc6570"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12" Target="http://docs.oasis-open.org/legaldocml/akn-core/v1.0/" TargetMode="External" /><Relationship Type="http://schemas.openxmlformats.org/officeDocument/2006/relationships/hyperlink" Id="rId414" Target="http://iflastandards.info/ns/fr/frbr/frbroo/" TargetMode="External" /><Relationship Type="http://schemas.openxmlformats.org/officeDocument/2006/relationships/hyperlink" Id="rId116" Target="http://www.w3.org/2001/XMLSchema#anyURI" TargetMode="External" /><Relationship Type="http://schemas.openxmlformats.org/officeDocument/2006/relationships/hyperlink" Id="rId120"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135" Target="https://ld.ech.ch/schema/0296/laws/ActTypeEnum" TargetMode="External" /><Relationship Type="http://schemas.openxmlformats.org/officeDocument/2006/relationships/hyperlink" Id="rId297" Target="https://ld.ech.ch/schema/0296/laws/BlockNameEnum" TargetMode="External" /><Relationship Type="http://schemas.openxmlformats.org/officeDocument/2006/relationships/hyperlink" Id="rId289" Target="https://ld.ech.ch/schema/0296/laws/ContainerNameEnum" TargetMode="External" /><Relationship Type="http://schemas.openxmlformats.org/officeDocument/2006/relationships/hyperlink" Id="rId274" Target="https://ld.ech.ch/schema/0296/laws/DocNameEnum" TargetMode="External" /><Relationship Type="http://schemas.openxmlformats.org/officeDocument/2006/relationships/hyperlink" Id="rId398" Target="https://ld.ech.ch/schema/0296/laws/DocumentLanguageEnum" TargetMode="External" /><Relationship Type="http://schemas.openxmlformats.org/officeDocument/2006/relationships/hyperlink" Id="rId377" Target="https://ld.ech.ch/schema/0296/laws/FedlexRoleEnum" TargetMode="External" /><Relationship Type="http://schemas.openxmlformats.org/officeDocument/2006/relationships/hyperlink" Id="rId413"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410" Target="https://www.ech.ch/de/ech/ech-0003" TargetMode="External" /><Relationship Type="http://schemas.openxmlformats.org/officeDocument/2006/relationships/hyperlink" Id="rId409" Target="https://www.ech.ch/de/ech/ech-0122" TargetMode="External" /><Relationship Type="http://schemas.openxmlformats.org/officeDocument/2006/relationships/hyperlink" Id="rId403" Target="https://www.ech.ch/de/ech/ech-0292" TargetMode="External" /><Relationship Type="http://schemas.openxmlformats.org/officeDocument/2006/relationships/hyperlink" Id="rId404" Target="https://www.ech.ch/de/ech/ech-0293" TargetMode="External" /><Relationship Type="http://schemas.openxmlformats.org/officeDocument/2006/relationships/hyperlink" Id="rId405" Target="https://www.ech.ch/de/ech/ech-0294" TargetMode="External" /><Relationship Type="http://schemas.openxmlformats.org/officeDocument/2006/relationships/hyperlink" Id="rId406" Target="https://www.ech.ch/de/ech/ech-0295" TargetMode="External" /><Relationship Type="http://schemas.openxmlformats.org/officeDocument/2006/relationships/hyperlink" Id="rId407" Target="https://www.ech.ch/de/ech/ech-0297" TargetMode="External" /><Relationship Type="http://schemas.openxmlformats.org/officeDocument/2006/relationships/hyperlink" Id="rId416"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415" Target="https://www.rfc-editor.org/rfc/rfc6570"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2026-08-16T00:06:38Z</dcterms:created>
  <dcterms:modified xsi:type="dcterms:W3CDTF">2026-08-16T00:06:38Z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