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134"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121"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7"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Start w:id="56" w:name="beispiele"/>
    <w:p>
      <w:pPr>
        <w:pStyle w:val="berschrift4"/>
      </w:pPr>
      <w:r>
        <w:t xml:space="preserve">Beispiele</w:t>
      </w:r>
    </w:p>
    <w:bookmarkStart w:id="54" w:name="beispiel-identification-sr101-1-1"/>
    <w:p>
      <w:pPr>
        <w:pStyle w:val="berschrift5"/>
      </w:pPr>
      <w:r>
        <w:t xml:space="preserve">Beispiel Identification: sr101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54"/>
    <w:bookmarkStart w:id="55" w:name="beispiel-identification-bgoe-1-1"/>
    <w:p>
      <w:pPr>
        <w:pStyle w:val="berschrift5"/>
      </w:pPr>
      <w:r>
        <w:t xml:space="preserve">Beispiel Identification: bgoe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55"/>
    <w:bookmarkEnd w:id="56"/>
    <w:bookmarkEnd w:id="57"/>
    <w:bookmarkStart w:id="64" w:name="klasse-frbrwork"/>
    <w:p>
      <w:pPr>
        <w:pStyle w:val="berschrift3"/>
      </w:pPr>
      <w:r>
        <w:t xml:space="preserve">Klasse: FRBRWork</w:t>
      </w:r>
      <w:r>
        <w:t xml:space="preserve"> </w:t>
      </w:r>
      <w:bookmarkStart w:id="58" w:name="FRBRWork"/>
      <w:bookmarkEnd w:id="58"/>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9"/>
    <w:bookmarkStart w:id="60"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60"/>
    <w:bookmarkStart w:id="63" w:name="beispiele-1"/>
    <w:p>
      <w:pPr>
        <w:pStyle w:val="berschrift4"/>
      </w:pPr>
      <w:r>
        <w:t xml:space="preserve">Beispiele</w:t>
      </w:r>
    </w:p>
    <w:bookmarkStart w:id="61" w:name="beispiel-frbrwork-bgoe-1-1"/>
    <w:p>
      <w:pPr>
        <w:pStyle w:val="berschrift5"/>
      </w:pPr>
      <w:r>
        <w:t xml:space="preserve">Beispiel FRBRWork: bgoe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1"/>
    <w:bookmarkStart w:id="62" w:name="beispiel-frbrwork-sr101-1-1"/>
    <w:p>
      <w:pPr>
        <w:pStyle w:val="berschrift5"/>
      </w:pPr>
      <w:r>
        <w:t xml:space="preserve">Beispiel FRBRWork: sr101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2"/>
    <w:bookmarkEnd w:id="63"/>
    <w:bookmarkEnd w:id="64"/>
    <w:bookmarkStart w:id="71" w:name="klasse-frbrexpression"/>
    <w:p>
      <w:pPr>
        <w:pStyle w:val="berschrift3"/>
      </w:pPr>
      <w:r>
        <w:t xml:space="preserve">Klasse: FRBRExpression</w:t>
      </w:r>
      <w:r>
        <w:t xml:space="preserve"> </w:t>
      </w:r>
      <w:bookmarkStart w:id="65" w:name="FRBRExpression"/>
      <w:bookmarkEnd w:id="65"/>
    </w:p>
    <w:p>
      <w:pPr>
        <w:pStyle w:val="FirstParagraph"/>
      </w:pPr>
      <w:r>
        <w:rPr>
          <w:i/>
          <w:iCs/>
        </w:rPr>
        <w:t xml:space="preserve">FRBR-Expression-Ebene (akn:FRBRExpression): eine sprachspezifische Version des Erlasses. Identifiziert durch einen ELI-URI mit Sprachcode.</w:t>
      </w:r>
    </w:p>
    <w:bookmarkStart w:id="66"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6"/>
    <w:bookmarkStart w:id="67"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7"/>
    <w:bookmarkStart w:id="70" w:name="beispiele-2"/>
    <w:p>
      <w:pPr>
        <w:pStyle w:val="berschrift4"/>
      </w:pPr>
      <w:r>
        <w:t xml:space="preserve">Beispiele</w:t>
      </w:r>
    </w:p>
    <w:bookmarkStart w:id="68" w:name="beispiel-frbrexpression-bgoe-1-1"/>
    <w:p>
      <w:pPr>
        <w:pStyle w:val="berschrift5"/>
      </w:pPr>
      <w:r>
        <w:t xml:space="preserve">Beispiel FRBRExpression: bgoe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8"/>
    <w:bookmarkStart w:id="69" w:name="beispiel-frbrexpression-sr101-1-1"/>
    <w:p>
      <w:pPr>
        <w:pStyle w:val="berschrift5"/>
      </w:pPr>
      <w:r>
        <w:t xml:space="preserve">Beispiel FRBRExpression: sr101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9"/>
    <w:bookmarkEnd w:id="70"/>
    <w:bookmarkEnd w:id="71"/>
    <w:bookmarkStart w:id="78" w:name="klasse-frbrmanifestation"/>
    <w:p>
      <w:pPr>
        <w:pStyle w:val="berschrift3"/>
      </w:pPr>
      <w:r>
        <w:t xml:space="preserve">Klasse: FRBRManifestation</w:t>
      </w:r>
      <w:r>
        <w:t xml:space="preserve"> </w:t>
      </w:r>
      <w:bookmarkStart w:id="72" w:name="FRBRManifestation"/>
      <w:bookmarkEnd w:id="72"/>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73"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73"/>
    <w:bookmarkStart w:id="74"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74"/>
    <w:bookmarkStart w:id="77" w:name="beispiele-3"/>
    <w:p>
      <w:pPr>
        <w:pStyle w:val="berschrift4"/>
      </w:pPr>
      <w:r>
        <w:t xml:space="preserve">Beispiele</w:t>
      </w:r>
    </w:p>
    <w:bookmarkStart w:id="75" w:name="beispiel-frbrmanifestation-bgoe-1-1"/>
    <w:p>
      <w:pPr>
        <w:pStyle w:val="berschrift5"/>
      </w:pPr>
      <w:r>
        <w:t xml:space="preserve">Beispiel FRBRManifestation: bgoe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75"/>
    <w:bookmarkStart w:id="76" w:name="beispiel-frbrmanifestation-sr101-1-1"/>
    <w:p>
      <w:pPr>
        <w:pStyle w:val="berschrift5"/>
      </w:pPr>
      <w:r>
        <w:t xml:space="preserve">Beispiel FRBRManifestation: sr101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76"/>
    <w:bookmarkEnd w:id="77"/>
    <w:bookmarkEnd w:id="78"/>
    <w:bookmarkStart w:id="89" w:name="klasse-frbrdate"/>
    <w:p>
      <w:pPr>
        <w:pStyle w:val="berschrift3"/>
      </w:pPr>
      <w:r>
        <w:t xml:space="preserve">Klasse: FRBRDate</w:t>
      </w:r>
      <w:r>
        <w:t xml:space="preserve"> </w:t>
      </w:r>
      <w:bookmarkStart w:id="79" w:name="FRBRDate"/>
      <w:bookmarkEnd w:id="79"/>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8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 or </w:t>
            </w:r>
            <w:hyperlink w:anchor="FrbrDateNameEnum">
              <w:r>
                <w:rPr>
                  <w:rStyle w:val="Hyperlink"/>
                </w:rPr>
                <w:t xml:space="preserve">FrbrDateNameEnum</w:t>
              </w:r>
            </w:hyperlink>
          </w:p>
        </w:tc>
        <w:tc>
          <w:tcPr/>
          <w:p>
            <w:pPr>
              <w:pStyle w:val="Compact"/>
            </w:pPr>
            <w:r>
              <w:t xml:space="preserve">Art dieses Datums (akn:FRBRdate/</w:t>
            </w:r>
            <w:r>
              <w:t xml:space="preserve">@name</w:t>
            </w:r>
            <w:r>
              <w:t xml:space="preserve">). Fedlex verwendet das JoLux-Vokabular; die zulässigen Werte von FrbrDateNameEnum tragen die entsprechende ELI-Eigenschaft. Kantonale Publikationsstellen führen eigene Bezeichnungen, weshalb eine freie Zeichenkette zulässig bleibt.</w:t>
            </w:r>
          </w:p>
        </w:tc>
      </w:tr>
    </w:tbl>
    <w:bookmarkEnd w:id="80"/>
    <w:bookmarkStart w:id="81"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81"/>
    <w:bookmarkStart w:id="88" w:name="beispiele-4"/>
    <w:p>
      <w:pPr>
        <w:pStyle w:val="berschrift4"/>
      </w:pPr>
      <w:r>
        <w:t xml:space="preserve">Beispiele</w:t>
      </w:r>
    </w:p>
    <w:bookmarkStart w:id="82" w:name="beispiel-frbrdate-bgoe-1-3"/>
    <w:p>
      <w:pPr>
        <w:pStyle w:val="berschrift5"/>
      </w:pPr>
      <w:r>
        <w:t xml:space="preserve">Beispiel FRBRDate: bgoe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2"/>
    <w:bookmarkStart w:id="83" w:name="beispiel-frbrdate-sr101-1-2"/>
    <w:p>
      <w:pPr>
        <w:pStyle w:val="berschrift5"/>
      </w:pPr>
      <w:r>
        <w:t xml:space="preserve">Beispiel FRBRDate: sr101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3"/>
    <w:bookmarkStart w:id="84" w:name="beispiel-frbrdate-bgoe-1-1"/>
    <w:p>
      <w:pPr>
        <w:pStyle w:val="berschrift5"/>
      </w:pPr>
      <w:r>
        <w:t xml:space="preserve">Beispiel FRBRDate: bgoe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4"/>
    <w:bookmarkStart w:id="85" w:name="beispiel-frbrdate-sr101-1-3"/>
    <w:p>
      <w:pPr>
        <w:pStyle w:val="berschrift5"/>
      </w:pPr>
      <w:r>
        <w:t xml:space="preserve">Beispiel FRBRDate: sr101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5"/>
    <w:bookmarkStart w:id="86" w:name="beispiel-frbrdate-bgoe-1-2"/>
    <w:p>
      <w:pPr>
        <w:pStyle w:val="berschrift5"/>
      </w:pPr>
      <w:r>
        <w:t xml:space="preserve">Beispiel FRBRDate: bgoe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6"/>
    <w:bookmarkStart w:id="87" w:name="beispiel-frbrdate-sr101-1-1"/>
    <w:p>
      <w:pPr>
        <w:pStyle w:val="berschrift5"/>
      </w:pPr>
      <w:r>
        <w:t xml:space="preserve">Beispiel FRBRDate: sr101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7"/>
    <w:bookmarkEnd w:id="88"/>
    <w:bookmarkEnd w:id="89"/>
    <w:bookmarkStart w:id="96" w:name="enum-frbrdatenameenum"/>
    <w:p>
      <w:pPr>
        <w:pStyle w:val="berschrift3"/>
      </w:pPr>
      <w:r>
        <w:t xml:space="preserve">Enum: FrbrDateNameEnum</w:t>
      </w:r>
      <w:r>
        <w:t xml:space="preserve"> </w:t>
      </w:r>
      <w:bookmarkStart w:id="90" w:name="FrbrDateNameEnum"/>
      <w:bookmarkEnd w:id="90"/>
    </w:p>
    <w:p>
      <w:pPr>
        <w:pStyle w:val="FirstParagraph"/>
      </w:pPr>
      <w:r>
        <w:rPr>
          <w:i/>
          <w:iCs/>
        </w:rPr>
        <w:t xml:space="preserve">Datumsarten, die Fedlex in akn:FRBRdate/</w:t>
      </w:r>
      <w:r>
        <w:rPr>
          <w:i/>
          <w:iCs/>
        </w:rPr>
        <w:t xml:space="preserve">@name</w:t>
      </w:r>
      <w:r>
        <w:rPr>
          <w:i/>
          <w:iCs/>
        </w:rPr>
        <w:t xml:space="preserve"> </w:t>
      </w:r>
      <w:r>
        <w:rPr>
          <w:i/>
          <w:iCs/>
        </w:rPr>
        <w:t xml:space="preserve">verwendet, aus dem JoLux-Vokabular. Kantonale Publikationsstellen führen eigene Bezeichnungen, weshalb der Slot auch eine freie Zeichenkette zulässt.</w:t>
      </w:r>
    </w:p>
    <w:p>
      <w:pPr>
        <w:pStyle w:val="Textkrper"/>
      </w:pPr>
      <w:r>
        <w:t xml:space="preserve">URI:</w:t>
      </w:r>
      <w:r>
        <w:t xml:space="preserve"> </w:t>
      </w:r>
      <w:hyperlink ns1:id="rId91">
        <w:r>
          <w:rPr>
            <w:rStyle w:val="Hyperlink"/>
          </w:rPr>
          <w:t xml:space="preserve">laws:FrbrDateNameEnum</w:t>
        </w:r>
      </w:hyperlink>
    </w:p>
    <w:bookmarkStart w:id="95"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jolux:dateDocument</w:t>
            </w:r>
          </w:p>
        </w:tc>
        <w:tc>
          <w:tcPr>
            <w:shd w:val="clear" w:color="auto" w:fill="F2F2F2"/>
          </w:tcPr>
          <w:p>
            <w:pPr>
              <w:pStyle w:val="Compact"/>
            </w:pPr>
            <w:r>
              <w:t xml:space="preserve">Datum der Verabschiedung oder Unterzeichnung des Erlasses.</w:t>
            </w:r>
          </w:p>
        </w:tc>
      </w:tr>
      <w:tr>
        <w:tc>
          <w:tcPr/>
          <w:p>
            <w:pPr>
              <w:pStyle w:val="Compact"/>
            </w:pPr>
          </w:p>
        </w:tc>
        <w:tc>
          <w:tcPr/>
          <w:p>
            <w:pPr>
              <w:pStyle w:val="Compact"/>
            </w:pPr>
            <w:hyperlink ns1:id="rId92">
              <w:r>
                <w:rPr>
                  <w:rStyle w:val="Hyperlink"/>
                </w:rPr>
                <w:t xml:space="preserve">jolux:dateDocument</w:t>
              </w:r>
            </w:hyperlink>
          </w:p>
        </w:tc>
      </w:tr>
      <w:tr>
        <w:tc>
          <w:tcPr>
            <w:shd w:val="clear" w:color="auto" w:fill="F2F2F2"/>
          </w:tcPr>
          <w:p>
            <w:pPr>
              <w:pStyle w:val="Compact"/>
            </w:pPr>
            <w:r>
              <w:t xml:space="preserve">jolux:dateEntryInForce</w:t>
            </w:r>
          </w:p>
        </w:tc>
        <w:tc>
          <w:tcPr>
            <w:shd w:val="clear" w:color="auto" w:fill="F2F2F2"/>
          </w:tcPr>
          <w:p>
            <w:pPr>
              <w:pStyle w:val="Compact"/>
            </w:pPr>
            <w:r>
              <w:t xml:space="preserve">Datum, an dem der Erlass oder sein erster Teil in Kraft trat.</w:t>
            </w:r>
          </w:p>
        </w:tc>
      </w:tr>
      <w:tr>
        <w:tc>
          <w:tcPr/>
          <w:p>
            <w:pPr>
              <w:pStyle w:val="Compact"/>
            </w:pPr>
          </w:p>
        </w:tc>
        <w:tc>
          <w:tcPr/>
          <w:p>
            <w:pPr>
              <w:pStyle w:val="Compact"/>
            </w:pPr>
            <w:hyperlink ns1:id="rId93">
              <w:r>
                <w:rPr>
                  <w:rStyle w:val="Hyperlink"/>
                </w:rPr>
                <w:t xml:space="preserve">jolux:dateEntryInForce</w:t>
              </w:r>
            </w:hyperlink>
          </w:p>
        </w:tc>
      </w:tr>
      <w:tr>
        <w:tc>
          <w:tcPr>
            <w:shd w:val="clear" w:color="auto" w:fill="F2F2F2"/>
          </w:tcPr>
          <w:p>
            <w:pPr>
              <w:pStyle w:val="Compact"/>
            </w:pPr>
            <w:r>
              <w:t xml:space="preserve">jolux:dateApplicability</w:t>
            </w:r>
          </w:p>
        </w:tc>
        <w:tc>
          <w:tcPr>
            <w:shd w:val="clear" w:color="auto" w:fill="F2F2F2"/>
          </w:tcPr>
          <w:p>
            <w:pPr>
              <w:pStyle w:val="Compact"/>
            </w:pPr>
            <w:r>
              <w:t xml:space="preserve">Datum, auf das die konsolidierte Fassung nachgeführt ist — der „Stand am“ der Fedlex-Auslieferung.</w:t>
            </w:r>
          </w:p>
        </w:tc>
      </w:tr>
      <w:tr>
        <w:tc>
          <w:tcPr/>
          <w:p>
            <w:pPr>
              <w:pStyle w:val="Compact"/>
            </w:pPr>
          </w:p>
        </w:tc>
        <w:tc>
          <w:tcPr/>
          <w:p>
            <w:pPr>
              <w:pStyle w:val="Compact"/>
            </w:pPr>
            <w:hyperlink ns1:id="rId94">
              <w:r>
                <w:rPr>
                  <w:rStyle w:val="Hyperlink"/>
                </w:rPr>
                <w:t xml:space="preserve">jolux:dateApplicability</w:t>
              </w:r>
            </w:hyperlink>
          </w:p>
        </w:tc>
      </w:tr>
    </w:tbl>
    <w:bookmarkEnd w:id="95"/>
    <w:bookmarkEnd w:id="96"/>
    <w:bookmarkStart w:id="105" w:name="klasse-frbrauthor"/>
    <w:p>
      <w:pPr>
        <w:pStyle w:val="berschrift3"/>
      </w:pPr>
      <w:r>
        <w:t xml:space="preserve">Klasse: FRBRAuthor</w:t>
      </w:r>
      <w:r>
        <w:t xml:space="preserve"> </w:t>
      </w:r>
      <w:bookmarkStart w:id="97" w:name="FRBRAuthor"/>
      <w:bookmarkEnd w:id="97"/>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98"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98"/>
    <w:bookmarkStart w:id="99"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99"/>
    <w:bookmarkStart w:id="104" w:name="beispiele-5"/>
    <w:p>
      <w:pPr>
        <w:pStyle w:val="berschrift4"/>
      </w:pPr>
      <w:r>
        <w:t xml:space="preserve">Beispiele</w:t>
      </w:r>
    </w:p>
    <w:bookmarkStart w:id="100" w:name="beispiel-frbrauthor-sr101-1-1"/>
    <w:p>
      <w:pPr>
        <w:pStyle w:val="berschrift5"/>
      </w:pPr>
      <w:r>
        <w:t xml:space="preserve">Beispiel FRBRAuthor: sr101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0"/>
    <w:bookmarkStart w:id="101" w:name="beispiel-frbrauthor-bgoe-1-2"/>
    <w:p>
      <w:pPr>
        <w:pStyle w:val="berschrift5"/>
      </w:pPr>
      <w:r>
        <w:t xml:space="preserve">Beispiel FRBRAuthor: bgoe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01"/>
    <w:bookmarkStart w:id="102" w:name="beispiel-frbrauthor-bgoe-1-1"/>
    <w:p>
      <w:pPr>
        <w:pStyle w:val="berschrift5"/>
      </w:pPr>
      <w:r>
        <w:t xml:space="preserve">Beispiel FRBRAuthor: bgoe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2"/>
    <w:bookmarkStart w:id="103" w:name="beispiel-frbrauthor-sr101-1-2"/>
    <w:p>
      <w:pPr>
        <w:pStyle w:val="berschrift5"/>
      </w:pPr>
      <w:r>
        <w:t xml:space="preserve">Beispiel FRBRAuthor: sr101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03"/>
    <w:bookmarkEnd w:id="104"/>
    <w:bookmarkEnd w:id="105"/>
    <w:bookmarkStart w:id="120" w:name="klasse-frbrname"/>
    <w:p>
      <w:pPr>
        <w:pStyle w:val="berschrift3"/>
      </w:pPr>
      <w:r>
        <w:t xml:space="preserve">Klasse: FRBRName</w:t>
      </w:r>
      <w:r>
        <w:t xml:space="preserve"> </w:t>
      </w:r>
      <w:bookmarkStart w:id="106" w:name="FRBRName"/>
      <w:bookmarkEnd w:id="106"/>
    </w:p>
    <w:p>
      <w:pPr>
        <w:pStyle w:val="FirstParagraph"/>
      </w:pPr>
      <w:r>
        <w:rPr>
          <w:i/>
          <w:iCs/>
        </w:rPr>
        <w:t xml:space="preserve">Ein mehrsprachiger Namenseintrag des FRBR-Works (akn:FRBRname). Enthält den offiziellen Langtitel und eine optionale Abkürzung. Ein Eintrag pro Sprache.</w:t>
      </w:r>
    </w:p>
    <w:bookmarkStart w:id="107"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107"/>
    <w:bookmarkStart w:id="108"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108"/>
    <w:bookmarkStart w:id="119" w:name="beispiele-6"/>
    <w:p>
      <w:pPr>
        <w:pStyle w:val="berschrift4"/>
      </w:pPr>
      <w:r>
        <w:t xml:space="preserve">Beispiele</w:t>
      </w:r>
    </w:p>
    <w:bookmarkStart w:id="109" w:name="beispiel-frbrname-bgoe-1-1"/>
    <w:p>
      <w:pPr>
        <w:pStyle w:val="berschrift5"/>
      </w:pPr>
      <w:r>
        <w:t xml:space="preserve">Beispiel FRBRName: bgoe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p>
    <w:bookmarkEnd w:id="109"/>
    <w:bookmarkStart w:id="110" w:name="beispiel-frbrname-sr101-1-2"/>
    <w:p>
      <w:pPr>
        <w:pStyle w:val="berschrift5"/>
      </w:pPr>
      <w:r>
        <w:t xml:space="preserve">Beispiel FRBRName: sr101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0"/>
    <w:bookmarkStart w:id="111" w:name="beispiel-frbrname-sr101-1-3"/>
    <w:p>
      <w:pPr>
        <w:pStyle w:val="berschrift5"/>
      </w:pPr>
      <w:r>
        <w:t xml:space="preserve">Beispiel FRBRName: sr101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AttributeTok"/>
        </w:rPr>
        <w:t xml:space="preserve">  </w:t>
      </w:r>
      <w:r>
        <w:rPr>
          <w:rStyle w:val="FunctionTok"/>
        </w:rPr>
        <w:t xml:space="preserve">value</w:t>
      </w:r>
      <w:r>
        <w:rPr>
          <w:rStyle w:val="KeywordTok"/>
        </w:rPr>
        <w:t xml:space="preserve">:</w:t>
      </w:r>
      <w:r>
        <w:rPr>
          <w:rStyle w:val="AttributeTok"/>
        </w:rPr>
        <w:t xml:space="preserve"> Federal Constitution of 18 April 1999 of the Swiss Confederation</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1"/>
    <w:bookmarkStart w:id="112" w:name="beispiel-frbrname-bgoe-1-3"/>
    <w:p>
      <w:pPr>
        <w:pStyle w:val="berschrift5"/>
      </w:pPr>
      <w:r>
        <w:t xml:space="preserve">Beispiel FRBRName: bgoe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p>
    <w:bookmarkEnd w:id="112"/>
    <w:bookmarkStart w:id="113" w:name="beispiel-frbrname-bgoe-1-4"/>
    <w:p>
      <w:pPr>
        <w:pStyle w:val="berschrift5"/>
      </w:pPr>
      <w:r>
        <w:t xml:space="preserve">Beispiel FRBRName: bgoe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p>
    <w:bookmarkEnd w:id="113"/>
    <w:bookmarkStart w:id="114" w:name="beispiel-frbrname-sr101-1-5"/>
    <w:p>
      <w:pPr>
        <w:pStyle w:val="berschrift5"/>
      </w:pPr>
      <w:r>
        <w:t xml:space="preserve">Beispiel FRBRName: sr101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p>
    <w:bookmarkEnd w:id="114"/>
    <w:bookmarkStart w:id="115" w:name="beispiel-frbrname-sr101-1-4"/>
    <w:p>
      <w:pPr>
        <w:pStyle w:val="berschrift5"/>
      </w:pPr>
      <w:r>
        <w:t xml:space="preserve">Beispiel FRBRName: sr101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5"/>
    <w:bookmarkStart w:id="116" w:name="beispiel-frbrname-bgoe-1-2"/>
    <w:p>
      <w:pPr>
        <w:pStyle w:val="berschrift5"/>
      </w:pPr>
      <w:r>
        <w:t xml:space="preserve">Beispiel FRBRName: bgoe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16"/>
    <w:bookmarkStart w:id="117" w:name="beispiel-frbrname-sr101-1-1"/>
    <w:p>
      <w:pPr>
        <w:pStyle w:val="berschrift5"/>
      </w:pPr>
      <w:r>
        <w:t xml:space="preserve">Beispiel FRBRName: sr101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p>
    <w:bookmarkEnd w:id="117"/>
    <w:bookmarkStart w:id="118" w:name="beispiel-frbrname-bgoe-1-5"/>
    <w:p>
      <w:pPr>
        <w:pStyle w:val="berschrift5"/>
      </w:pPr>
      <w:r>
        <w:t xml:space="preserve">Beispiel FRBRName: bgoe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18"/>
    <w:bookmarkEnd w:id="119"/>
    <w:bookmarkEnd w:id="120"/>
    <w:bookmarkEnd w:id="121"/>
    <w:bookmarkStart w:id="122"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122"/>
    <w:bookmarkStart w:id="126" w:name="typ-eliuri"/>
    <w:p>
      <w:pPr>
        <w:pStyle w:val="berschrift2"/>
      </w:pPr>
      <w:r>
        <w:t xml:space="preserve">Typ: ELIURI</w:t>
      </w:r>
      <w:r>
        <w:t xml:space="preserve"> </w:t>
      </w:r>
      <w:bookmarkStart w:id="123" w:name="ELIURI"/>
      <w:bookmarkEnd w:id="123"/>
    </w:p>
    <w:p>
      <w:pPr>
        <w:pStyle w:val="FirstParagraph"/>
      </w:pPr>
      <w:r>
        <w:rPr>
          <w:i/>
          <w:iCs/>
        </w:rPr>
        <w:t xml:space="preserve">Ein European Legislation Identifier (ELI) URI, wie von Fedlex verwendet.</w:t>
      </w:r>
    </w:p>
    <w:p>
      <w:pPr>
        <w:pStyle w:val="Textkrper"/>
      </w:pPr>
      <w:r>
        <w:t xml:space="preserve">URI:</w:t>
      </w:r>
      <w:r>
        <w:t xml:space="preserve"> </w:t>
      </w:r>
      <w:hyperlink ns1:id="rId124">
        <w:r>
          <w:rPr>
            <w:rStyle w:val="Hyperlink"/>
          </w:rPr>
          <w:t xml:space="preserve">xsd:anyURI</w:t>
        </w:r>
      </w:hyperlink>
    </w:p>
    <w:bookmarkStart w:id="125"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4">
              <w:r>
                <w:rPr>
                  <w:rStyle w:val="Hyperlink"/>
                </w:rPr>
                <w:t xml:space="preserve">xsd:anyURI</w:t>
              </w:r>
            </w:hyperlink>
          </w:p>
        </w:tc>
      </w:tr>
    </w:tbl>
    <w:bookmarkEnd w:id="125"/>
    <w:bookmarkEnd w:id="126"/>
    <w:bookmarkStart w:id="130" w:name="typ-eidtype"/>
    <w:p>
      <w:pPr>
        <w:pStyle w:val="berschrift2"/>
      </w:pPr>
      <w:r>
        <w:t xml:space="preserve">Typ: EIdType</w:t>
      </w:r>
      <w:r>
        <w:t xml:space="preserve"> </w:t>
      </w:r>
      <w:bookmarkStart w:id="127" w:name="EIdType"/>
      <w:bookmarkEnd w:id="127"/>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128">
        <w:r>
          <w:rPr>
            <w:rStyle w:val="Hyperlink"/>
          </w:rPr>
          <w:t xml:space="preserve">xsd:string</w:t>
        </w:r>
      </w:hyperlink>
    </w:p>
    <w:bookmarkStart w:id="129"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8">
              <w:r>
                <w:rPr>
                  <w:rStyle w:val="Hyperlink"/>
                </w:rPr>
                <w:t xml:space="preserve">xsd:string</w:t>
              </w:r>
            </w:hyperlink>
          </w:p>
        </w:tc>
      </w:tr>
    </w:tbl>
    <w:bookmarkEnd w:id="129"/>
    <w:bookmarkEnd w:id="130"/>
    <w:bookmarkStart w:id="133" w:name="typ-anchorref"/>
    <w:p>
      <w:pPr>
        <w:pStyle w:val="berschrift2"/>
      </w:pPr>
      <w:r>
        <w:t xml:space="preserve">Typ: AnchorRef</w:t>
      </w:r>
      <w:r>
        <w:t xml:space="preserve"> </w:t>
      </w:r>
      <w:bookmarkStart w:id="131" w:name="AnchorRef"/>
      <w:bookmarkEnd w:id="131"/>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128">
        <w:r>
          <w:rPr>
            <w:rStyle w:val="Hyperlink"/>
          </w:rPr>
          <w:t xml:space="preserve">xsd:string</w:t>
        </w:r>
      </w:hyperlink>
    </w:p>
    <w:bookmarkStart w:id="132"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8">
              <w:r>
                <w:rPr>
                  <w:rStyle w:val="Hyperlink"/>
                </w:rPr>
                <w:t xml:space="preserve">xsd:string</w:t>
              </w:r>
            </w:hyperlink>
          </w:p>
        </w:tc>
      </w:tr>
    </w:tbl>
    <w:bookmarkEnd w:id="132"/>
    <w:p>
      <w:r>
        <w:br w:type="page"/>
      </w:r>
    </w:p>
    <w:bookmarkEnd w:id="133"/>
    <w:bookmarkEnd w:id="134"/>
    <w:bookmarkStart w:id="333"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141" w:name="klasse-act"/>
    <w:p>
      <w:pPr>
        <w:pStyle w:val="berschrift3"/>
      </w:pPr>
      <w:r>
        <w:t xml:space="preserve">Klasse: Act</w:t>
      </w:r>
      <w:r>
        <w:t xml:space="preserve"> </w:t>
      </w:r>
      <w:bookmarkStart w:id="135" w:name="Act"/>
      <w:bookmarkEnd w:id="135"/>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136"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r>
        <w:tc>
          <w:tcPr/>
          <w:p>
            <w:pPr>
              <w:pStyle w:val="Compact"/>
            </w:pPr>
            <w:r>
              <w:t xml:space="preserve">components_ref</w:t>
            </w:r>
          </w:p>
        </w:tc>
        <w:tc>
          <w:tcPr/>
          <w:p>
            <w:pPr>
              <w:pStyle w:val="Compact"/>
            </w:pPr>
            <w:r>
              <w:t xml:space="preserve">0..1</w:t>
            </w:r>
            <w:r>
              <w:t xml:space="preserve"> </w:t>
            </w:r>
            <w:r>
              <w:t xml:space="preserve"> </w:t>
            </w:r>
            <w:hyperlink w:anchor="Components">
              <w:r>
                <w:rPr>
                  <w:rStyle w:val="Hyperlink"/>
                </w:rPr>
                <w:t xml:space="preserve">Components</w:t>
              </w:r>
            </w:hyperlink>
          </w:p>
        </w:tc>
        <w:tc>
          <w:tcPr/>
          <w:p>
            <w:pPr>
              <w:pStyle w:val="Compact"/>
            </w:pPr>
            <w:r>
              <w:t xml:space="preserve">Die diesem Erlass beiliegenden Dokumente (akn:components).</w:t>
            </w:r>
          </w:p>
        </w:tc>
      </w:tr>
    </w:tbl>
    <w:bookmarkEnd w:id="136"/>
    <w:bookmarkStart w:id="137"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137"/>
    <w:bookmarkStart w:id="140" w:name="beispiele-7"/>
    <w:p>
      <w:pPr>
        <w:pStyle w:val="berschrift4"/>
      </w:pPr>
      <w:r>
        <w:t xml:space="preserve">Beispiele</w:t>
      </w:r>
    </w:p>
    <w:bookmarkStart w:id="138" w:name="beispiel-act-bgoe-1"/>
    <w:p>
      <w:pPr>
        <w:pStyle w:val="berschrift5"/>
      </w:pPr>
      <w:r>
        <w:t xml:space="preserve">Beispiel Act: bgoe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38"/>
    <w:bookmarkStart w:id="139" w:name="beispiel-act-sr101-1"/>
    <w:p>
      <w:pPr>
        <w:pStyle w:val="berschrift5"/>
      </w:pPr>
      <w:r>
        <w:t xml:space="preserve">Beispiel Act: sr101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139"/>
    <w:bookmarkEnd w:id="140"/>
    <w:bookmarkEnd w:id="141"/>
    <w:bookmarkStart w:id="145" w:name="enum-acttypeenum"/>
    <w:p>
      <w:pPr>
        <w:pStyle w:val="berschrift3"/>
      </w:pPr>
      <w:r>
        <w:t xml:space="preserve">Enum: ActTypeEnum</w:t>
      </w:r>
      <w:r>
        <w:t xml:space="preserve"> </w:t>
      </w:r>
      <w:bookmarkStart w:id="142" w:name="ActTypeEnum"/>
      <w:bookmarkEnd w:id="142"/>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143">
        <w:r>
          <w:rPr>
            <w:rStyle w:val="Hyperlink"/>
          </w:rPr>
          <w:t xml:space="preserve">laws:ActTypeEnum</w:t>
        </w:r>
      </w:hyperlink>
    </w:p>
    <w:bookmarkStart w:id="144"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144"/>
    <w:bookmarkEnd w:id="145"/>
    <w:bookmarkStart w:id="170" w:name="vorspann-und-präambel"/>
    <w:p>
      <w:pPr>
        <w:pStyle w:val="berschrift2"/>
      </w:pPr>
      <w:r>
        <w:t xml:space="preserve">Vorspann und Präambel</w:t>
      </w:r>
    </w:p>
    <w:bookmarkStart w:id="152" w:name="klasse-preface"/>
    <w:p>
      <w:pPr>
        <w:pStyle w:val="berschrift3"/>
      </w:pPr>
      <w:r>
        <w:t xml:space="preserve">Klasse: Preface</w:t>
      </w:r>
      <w:r>
        <w:t xml:space="preserve"> </w:t>
      </w:r>
      <w:bookmarkStart w:id="146" w:name="Preface"/>
      <w:bookmarkEnd w:id="146"/>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47"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r>
        <w:tc>
          <w:tcPr/>
          <w:p>
            <w:pPr>
              <w:pStyle w:val="Compact"/>
            </w:pPr>
            <w:r>
              <w:t xml:space="preserve">containers</w:t>
            </w:r>
          </w:p>
        </w:tc>
        <w:tc>
          <w:tcPr/>
          <w:p>
            <w:pPr>
              <w:pStyle w:val="Compact"/>
            </w:pPr>
            <w:r>
              <w:t xml:space="preserve">*</w:t>
            </w:r>
            <w:r>
              <w:t xml:space="preserve"> </w:t>
            </w:r>
            <w:r>
              <w:t xml:space="preserve"> </w:t>
            </w:r>
            <w:hyperlink w:anchor="Container">
              <w:r>
                <w:rPr>
                  <w:rStyle w:val="Hyperlink"/>
                </w:rPr>
                <w:t xml:space="preserve">Container</w:t>
              </w:r>
            </w:hyperlink>
          </w:p>
        </w:tc>
        <w:tc>
          <w:tcPr/>
          <w:p>
            <w:pPr>
              <w:pStyle w:val="Compact"/>
            </w:pPr>
            <w:r>
              <w:t xml:space="preserve">Behälter des Vorspanns (akn:container).</w:t>
            </w:r>
          </w:p>
        </w:tc>
      </w:tr>
    </w:tbl>
    <w:bookmarkEnd w:id="147"/>
    <w:bookmarkStart w:id="148"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r>
        <w:tc>
          <w:tcPr/>
          <w:p>
            <w:pPr>
              <w:pStyle w:val="Compact"/>
            </w:pPr>
            <w:hyperlink w:anchor="Doc">
              <w:r>
                <w:rPr>
                  <w:rStyle w:val="Hyperlink"/>
                </w:rPr>
                <w:t xml:space="preserve">Doc</w:t>
              </w:r>
            </w:hyperlink>
          </w:p>
        </w:tc>
        <w:tc>
          <w:tcPr/>
          <w:p>
            <w:pPr>
              <w:pStyle w:val="Compact"/>
            </w:pPr>
            <w:r>
              <w:t xml:space="preserve">preface_ref</w:t>
            </w:r>
          </w:p>
        </w:tc>
        <w:tc>
          <w:tcPr/>
          <w:p>
            <w:pPr>
              <w:pStyle w:val="Compact"/>
            </w:pPr>
            <w:r>
              <w:t xml:space="preserve">range</w:t>
            </w:r>
          </w:p>
        </w:tc>
        <w:tc>
          <w:tcPr/>
          <w:p>
            <w:pPr>
              <w:pStyle w:val="Compact"/>
            </w:pPr>
            <w:hyperlink w:anchor="Preface">
              <w:r>
                <w:rPr>
                  <w:rStyle w:val="Hyperlink"/>
                </w:rPr>
                <w:t xml:space="preserve">Preface</w:t>
              </w:r>
            </w:hyperlink>
          </w:p>
        </w:tc>
      </w:tr>
    </w:tbl>
    <w:bookmarkEnd w:id="148"/>
    <w:bookmarkStart w:id="151" w:name="beispiele-8"/>
    <w:p>
      <w:pPr>
        <w:pStyle w:val="berschrift4"/>
      </w:pPr>
      <w:r>
        <w:t xml:space="preserve">Beispiele</w:t>
      </w:r>
    </w:p>
    <w:bookmarkStart w:id="149" w:name="beispiel-preface-bgoe-1-1"/>
    <w:p>
      <w:pPr>
        <w:pStyle w:val="berschrift5"/>
      </w:pPr>
      <w:r>
        <w:t xml:space="preserve">Beispiel Preface: bgoe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49"/>
    <w:bookmarkStart w:id="150" w:name="beispiel-preface-sr101-1-1"/>
    <w:p>
      <w:pPr>
        <w:pStyle w:val="berschrift5"/>
      </w:pPr>
      <w:r>
        <w:t xml:space="preserve">Beispiel Preface: sr101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p>
    <w:bookmarkEnd w:id="150"/>
    <w:bookmarkEnd w:id="151"/>
    <w:bookmarkEnd w:id="152"/>
    <w:bookmarkStart w:id="165" w:name="klasse-prefacep"/>
    <w:p>
      <w:pPr>
        <w:pStyle w:val="berschrift3"/>
      </w:pPr>
      <w:r>
        <w:t xml:space="preserve">Klasse: PrefaceP</w:t>
      </w:r>
      <w:r>
        <w:t xml:space="preserve"> </w:t>
      </w:r>
      <w:bookmarkStart w:id="153" w:name="PrefaceP"/>
      <w:bookmarkEnd w:id="153"/>
    </w:p>
    <w:p>
      <w:pPr>
        <w:pStyle w:val="FirstParagraph"/>
      </w:pPr>
      <w:r>
        <w:rPr>
          <w:i/>
          <w:iCs/>
        </w:rPr>
        <w:t xml:space="preserve">Ein Vorspann-Absatz (akn:p), der Dokumentnummer und/oder -titel umschliesst. Fedlex verlangt akn:docNumber und akn:docTitle innerhalb eines akn:p des Vorspanns (FLX-PF-001/002).</w:t>
      </w:r>
    </w:p>
    <w:bookmarkStart w:id="155"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Start w:id="154"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05"/>
        </w:numPr>
      </w:pPr>
      <w:r>
        <w:t xml:space="preserve">doc_number</w:t>
      </w:r>
    </w:p>
    <w:p>
      <w:pPr>
        <w:pStyle w:val="Compact"/>
        <w:numPr>
          <w:ilvl w:val="0"/>
          <w:numId w:val="1005"/>
        </w:numPr>
      </w:pPr>
      <w:r>
        <w:t xml:space="preserve">doc_title</w:t>
      </w:r>
    </w:p>
    <w:p>
      <w:pPr>
        <w:pStyle w:val="Compact"/>
        <w:numPr>
          <w:ilvl w:val="0"/>
          <w:numId w:val="1005"/>
        </w:numPr>
      </w:pPr>
      <w:r>
        <w:t xml:space="preserve">inline_content</w:t>
      </w:r>
    </w:p>
    <w:bookmarkEnd w:id="154"/>
    <w:bookmarkEnd w:id="155"/>
    <w:bookmarkStart w:id="156"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56"/>
    <w:bookmarkStart w:id="164" w:name="beispiele-9"/>
    <w:p>
      <w:pPr>
        <w:pStyle w:val="berschrift4"/>
      </w:pPr>
      <w:r>
        <w:t xml:space="preserve">Beispiele</w:t>
      </w:r>
    </w:p>
    <w:bookmarkStart w:id="157" w:name="beispiel-prefacep-sr101-1-1"/>
    <w:p>
      <w:pPr>
        <w:pStyle w:val="berschrift5"/>
      </w:pPr>
      <w:r>
        <w:t xml:space="preserve">Beispiel PrefaceP: sr101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p>
    <w:bookmarkEnd w:id="157"/>
    <w:bookmarkStart w:id="158" w:name="beispiel-prefacep-sr101-1-2"/>
    <w:p>
      <w:pPr>
        <w:pStyle w:val="berschrift5"/>
      </w:pPr>
      <w:r>
        <w:t xml:space="preserve">Beispiel PrefaceP: sr101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58"/>
    <w:bookmarkStart w:id="159" w:name="beispiel-prefacep-sr101-1-3"/>
    <w:p>
      <w:pPr>
        <w:pStyle w:val="berschrift5"/>
      </w:pPr>
      <w:r>
        <w:t xml:space="preserve">Beispiel PrefaceP: sr101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18. April 1999 (Stand am 3. März 2024)</w:t>
      </w:r>
    </w:p>
    <w:bookmarkEnd w:id="159"/>
    <w:bookmarkStart w:id="160" w:name="beispiel-prefacep-bgoe-1-3"/>
    <w:p>
      <w:pPr>
        <w:pStyle w:val="berschrift5"/>
      </w:pPr>
      <w:r>
        <w:t xml:space="preserve">Beispiel PrefaceP: bgoe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(Öffentlichkeitsgesetz, BGÖ)</w:t>
      </w:r>
    </w:p>
    <w:bookmarkEnd w:id="160"/>
    <w:bookmarkStart w:id="161" w:name="beispiel-prefacep-bgoe-1-2"/>
    <w:p>
      <w:pPr>
        <w:pStyle w:val="berschrift5"/>
      </w:pPr>
      <w:r>
        <w:t xml:space="preserve">Beispiel PrefaceP: bgoe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61"/>
    <w:bookmarkStart w:id="162" w:name="beispiel-prefacep-bgoe-1-1"/>
    <w:p>
      <w:pPr>
        <w:pStyle w:val="berschrift5"/>
      </w:pPr>
      <w:r>
        <w:t xml:space="preserve">Beispiel PrefaceP: bgoe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p>
    <w:bookmarkEnd w:id="162"/>
    <w:bookmarkStart w:id="163" w:name="beispiel-prefacep-bgoe-1-4"/>
    <w:p>
      <w:pPr>
        <w:pStyle w:val="berschrift5"/>
      </w:pPr>
      <w:r>
        <w:t xml:space="preserve">Beispiel PrefaceP: bgoe 1 4</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17. Dezember 2004 (Stand am 1. November 2023)</w:t>
      </w:r>
    </w:p>
    <w:bookmarkEnd w:id="163"/>
    <w:bookmarkEnd w:id="164"/>
    <w:bookmarkEnd w:id="165"/>
    <w:bookmarkStart w:id="169" w:name="klasse-preamble"/>
    <w:p>
      <w:pPr>
        <w:pStyle w:val="berschrift3"/>
      </w:pPr>
      <w:r>
        <w:t xml:space="preserve">Klasse: Preamble</w:t>
      </w:r>
      <w:r>
        <w:t xml:space="preserve"> </w:t>
      </w:r>
      <w:bookmarkStart w:id="166" w:name="Preamble"/>
      <w:bookmarkEnd w:id="166"/>
    </w:p>
    <w:p>
      <w:pPr>
        <w:pStyle w:val="FirstParagraph"/>
      </w:pPr>
      <w:r>
        <w:rPr>
          <w:i/>
          <w:iCs/>
        </w:rPr>
        <w:t xml:space="preserve">Die Präambel des Erlasses (akn:preamble) mit einleitenden Fliesstext-Absätzen vor dem Hauptteil.</w:t>
      </w:r>
    </w:p>
    <w:bookmarkStart w:id="167"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167"/>
    <w:bookmarkStart w:id="168"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68"/>
    <w:bookmarkEnd w:id="169"/>
    <w:bookmarkEnd w:id="170"/>
    <w:bookmarkStart w:id="214"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74" w:name="klasse-actbody"/>
    <w:p>
      <w:pPr>
        <w:pStyle w:val="berschrift3"/>
      </w:pPr>
      <w:r>
        <w:t xml:space="preserve">Klasse: ActBody</w:t>
      </w:r>
      <w:r>
        <w:t xml:space="preserve"> </w:t>
      </w:r>
      <w:bookmarkStart w:id="171" w:name="ActBody"/>
      <w:bookmarkEnd w:id="171"/>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72"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72"/>
    <w:bookmarkStart w:id="173"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73"/>
    <w:bookmarkEnd w:id="174"/>
    <w:bookmarkStart w:id="178" w:name="klasse-book"/>
    <w:p>
      <w:pPr>
        <w:pStyle w:val="berschrift3"/>
      </w:pPr>
      <w:r>
        <w:t xml:space="preserve">Klasse: Book</w:t>
      </w:r>
      <w:r>
        <w:t xml:space="preserve"> </w:t>
      </w:r>
      <w:bookmarkStart w:id="175" w:name="Book"/>
      <w:bookmarkEnd w:id="175"/>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7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76"/>
    <w:bookmarkStart w:id="177"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77"/>
    <w:bookmarkEnd w:id="178"/>
    <w:bookmarkStart w:id="189" w:name="klasse-title"/>
    <w:p>
      <w:pPr>
        <w:pStyle w:val="berschrift3"/>
      </w:pPr>
      <w:r>
        <w:t xml:space="preserve">Klasse: Title</w:t>
      </w:r>
      <w:r>
        <w:t xml:space="preserve"> </w:t>
      </w:r>
      <w:bookmarkStart w:id="179" w:name="Title"/>
      <w:bookmarkEnd w:id="179"/>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80"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80"/>
    <w:bookmarkStart w:id="181"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81"/>
    <w:bookmarkStart w:id="188" w:name="beispiele-10"/>
    <w:p>
      <w:pPr>
        <w:pStyle w:val="berschrift4"/>
      </w:pPr>
      <w:r>
        <w:t xml:space="preserve">Beispiele</w:t>
      </w:r>
    </w:p>
    <w:bookmarkStart w:id="182" w:name="beispiel-title-sr101-1-3"/>
    <w:p>
      <w:pPr>
        <w:pStyle w:val="berschrift5"/>
      </w:pPr>
      <w:r>
        <w:t xml:space="preserve">Beispiel Title: sr101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Kantone und Gemeinden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8 weitere</w:t>
      </w:r>
      <w:r>
        <w:br/>
      </w:r>
      <w:r>
        <w:rPr>
          <w:rStyle w:val="AttributeTok"/>
        </w:rPr>
        <w:t xml:space="preserve">  </w:t>
      </w:r>
      <w:r>
        <w:rPr>
          <w:rStyle w:val="KeywordTok"/>
        </w:rPr>
        <w:t xml:space="preserve">-</w:t>
      </w:r>
      <w:r>
        <w:rPr>
          <w:rStyle w:val="AttributeTok"/>
        </w:rPr>
        <w:t xml:space="preserve"> … 1 weitere</w:t>
      </w:r>
    </w:p>
    <w:bookmarkEnd w:id="182"/>
    <w:bookmarkStart w:id="183" w:name="beispiel-title-sr101-1-5"/>
    <w:p>
      <w:pPr>
        <w:pStyle w:val="berschrift5"/>
      </w:pPr>
      <w:r>
        <w:t xml:space="preserve">Beispiel Title: sr101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Bundesbehörden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6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83"/>
    <w:bookmarkStart w:id="184" w:name="X957449ac15f88c30a4f257d0337273c9d1875e6"/>
    <w:p>
      <w:pPr>
        <w:pStyle w:val="berschrift5"/>
      </w:pPr>
      <w:r>
        <w:t xml:space="preserve">Beispiel Title: Title with number heading and articles</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p>
    <w:bookmarkEnd w:id="184"/>
    <w:bookmarkStart w:id="185" w:name="beispiel-title-sr101-1-6"/>
    <w:p>
      <w:pPr>
        <w:pStyle w:val="berschrift5"/>
      </w:pPr>
      <w:r>
        <w:t xml:space="preserve">Beispiel Title: sr101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Revision der Bundesverfassung und Übergangsbestimmungen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p>
    <w:bookmarkEnd w:id="185"/>
    <w:bookmarkStart w:id="186" w:name="beispiel-title-sr101-1-2"/>
    <w:p>
      <w:pPr>
        <w:pStyle w:val="berschrift5"/>
      </w:pPr>
      <w:r>
        <w:t xml:space="preserve">Beispiel Title: sr101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Grundrechte, Bürgerrechte und Sozialziele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p>
    <w:bookmarkEnd w:id="186"/>
    <w:bookmarkStart w:id="187" w:name="beispiel-title-sr101-1-4"/>
    <w:p>
      <w:pPr>
        <w:pStyle w:val="berschrift5"/>
      </w:pPr>
      <w:r>
        <w:t xml:space="preserve">Beispiel Title: sr101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Volk und Stände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art_139</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6 weitere</w:t>
      </w:r>
    </w:p>
    <w:bookmarkEnd w:id="187"/>
    <w:bookmarkEnd w:id="188"/>
    <w:bookmarkEnd w:id="189"/>
    <w:bookmarkStart w:id="193" w:name="klasse-part"/>
    <w:p>
      <w:pPr>
        <w:pStyle w:val="berschrift3"/>
      </w:pPr>
      <w:r>
        <w:t xml:space="preserve">Klasse: Part</w:t>
      </w:r>
      <w:r>
        <w:t xml:space="preserve"> </w:t>
      </w:r>
      <w:bookmarkStart w:id="190" w:name="Part"/>
      <w:bookmarkEnd w:id="190"/>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91"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1"/>
    <w:bookmarkStart w:id="192"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92"/>
    <w:bookmarkEnd w:id="193"/>
    <w:bookmarkStart w:id="197" w:name="klasse-chapter"/>
    <w:p>
      <w:pPr>
        <w:pStyle w:val="berschrift3"/>
      </w:pPr>
      <w:r>
        <w:t xml:space="preserve">Klasse: Chapter</w:t>
      </w:r>
      <w:r>
        <w:t xml:space="preserve"> </w:t>
      </w:r>
      <w:bookmarkStart w:id="194" w:name="Chapter"/>
      <w:bookmarkEnd w:id="194"/>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95"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95"/>
    <w:bookmarkStart w:id="196"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96"/>
    <w:bookmarkEnd w:id="197"/>
    <w:bookmarkStart w:id="201" w:name="klasse-subchapter"/>
    <w:p>
      <w:pPr>
        <w:pStyle w:val="berschrift3"/>
      </w:pPr>
      <w:r>
        <w:t xml:space="preserve">Klasse: Subchapter</w:t>
      </w:r>
      <w:r>
        <w:t xml:space="preserve"> </w:t>
      </w:r>
      <w:bookmarkStart w:id="198" w:name="Subchapter"/>
      <w:bookmarkEnd w:id="198"/>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99"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9"/>
    <w:bookmarkStart w:id="200"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200"/>
    <w:bookmarkEnd w:id="201"/>
    <w:bookmarkStart w:id="205" w:name="klasse-section"/>
    <w:p>
      <w:pPr>
        <w:pStyle w:val="berschrift3"/>
      </w:pPr>
      <w:r>
        <w:t xml:space="preserve">Klasse: Section</w:t>
      </w:r>
      <w:r>
        <w:t xml:space="preserve"> </w:t>
      </w:r>
      <w:bookmarkStart w:id="202" w:name="Section"/>
      <w:bookmarkEnd w:id="202"/>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203"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203"/>
    <w:bookmarkStart w:id="204"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204"/>
    <w:bookmarkEnd w:id="205"/>
    <w:bookmarkStart w:id="209" w:name="klasse-subsection"/>
    <w:p>
      <w:pPr>
        <w:pStyle w:val="berschrift3"/>
      </w:pPr>
      <w:r>
        <w:t xml:space="preserve">Klasse: Subsection</w:t>
      </w:r>
      <w:r>
        <w:t xml:space="preserve"> </w:t>
      </w:r>
      <w:bookmarkStart w:id="206" w:name="Subsection"/>
      <w:bookmarkEnd w:id="206"/>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207"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07"/>
    <w:bookmarkStart w:id="208"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208"/>
    <w:bookmarkEnd w:id="209"/>
    <w:bookmarkStart w:id="213" w:name="klasse-level"/>
    <w:p>
      <w:pPr>
        <w:pStyle w:val="berschrift3"/>
      </w:pPr>
      <w:r>
        <w:t xml:space="preserve">Klasse: Level</w:t>
      </w:r>
      <w:r>
        <w:t xml:space="preserve"> </w:t>
      </w:r>
      <w:bookmarkStart w:id="210" w:name="Level"/>
      <w:bookmarkEnd w:id="210"/>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211"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11"/>
    <w:bookmarkStart w:id="212"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bl>
    <w:bookmarkEnd w:id="212"/>
    <w:bookmarkEnd w:id="213"/>
    <w:bookmarkEnd w:id="214"/>
    <w:bookmarkStart w:id="257" w:name="artikel-und-absätze"/>
    <w:p>
      <w:pPr>
        <w:pStyle w:val="berschrift2"/>
      </w:pPr>
      <w:r>
        <w:t xml:space="preserve">Artikel und Absätze</w:t>
      </w:r>
    </w:p>
    <w:bookmarkStart w:id="226" w:name="klasse-article"/>
    <w:p>
      <w:pPr>
        <w:pStyle w:val="berschrift3"/>
      </w:pPr>
      <w:r>
        <w:t xml:space="preserve">Klasse: Article</w:t>
      </w:r>
      <w:r>
        <w:t xml:space="preserve"> </w:t>
      </w:r>
      <w:bookmarkStart w:id="215" w:name="Article"/>
      <w:bookmarkEnd w:id="215"/>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216"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216"/>
    <w:bookmarkStart w:id="217"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217"/>
    <w:bookmarkStart w:id="225" w:name="beispiele-11"/>
    <w:p>
      <w:pPr>
        <w:pStyle w:val="berschrift4"/>
      </w:pPr>
      <w:r>
        <w:t xml:space="preserve">Beispiele</w:t>
      </w:r>
    </w:p>
    <w:bookmarkStart w:id="218" w:name="beispiel-article-sr101-1-3"/>
    <w:p>
      <w:pPr>
        <w:pStyle w:val="berschrift5"/>
      </w:pPr>
      <w:r>
        <w:t xml:space="preserve">Beispiel Article: sr101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Kantone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8"/>
    <w:bookmarkStart w:id="219" w:name="X030362900fb008e8ce06b99b93a968dc2b418e2"/>
    <w:p>
      <w:pPr>
        <w:pStyle w:val="berschrift5"/>
      </w:pPr>
      <w:r>
        <w:t xml:space="preserve">Beispiel Article: Article with a bold article number</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9"/>
    <w:bookmarkStart w:id="220" w:name="X6c710df4c6517c1bd32d0ec4d2b254cb3908c0b"/>
    <w:p>
      <w:pPr>
        <w:pStyle w:val="berschrift5"/>
      </w:pPr>
      <w:r>
        <w:t xml:space="preserve">Beispiel Article: Article with numbered paragraphs</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20"/>
    <w:bookmarkStart w:id="221" w:name="beispiel-article-sr101-1-4"/>
    <w:p>
      <w:pPr>
        <w:pStyle w:val="berschrift5"/>
      </w:pPr>
      <w:r>
        <w:t xml:space="preserve">Beispiel Article: sr101 1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Landessprachen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1"/>
    <w:bookmarkStart w:id="222" w:name="beispiel-article-sr101-1-6"/>
    <w:p>
      <w:pPr>
        <w:pStyle w:val="berschrift5"/>
      </w:pPr>
      <w:r>
        <w:t xml:space="preserve">Beispiel Article: sr101 1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I</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Subsidiarität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2"/>
    <w:bookmarkStart w:id="223" w:name="beispiel-article-sr101-1-7"/>
    <w:p>
      <w:pPr>
        <w:pStyle w:val="berschrift5"/>
      </w:pPr>
      <w:r>
        <w:t xml:space="preserve">Beispiel Article: sr101 1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Individuelle und gesellschaftliche Verantwortung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3"/>
    <w:bookmarkStart w:id="224" w:name="beispiel-article-sr101-1-5"/>
    <w:p>
      <w:pPr>
        <w:pStyle w:val="berschrift5"/>
      </w:pPr>
      <w:r>
        <w:t xml:space="preserve">Beispiel Article: sr101 1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rechtsstaatlichen Handelns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24"/>
    <w:bookmarkEnd w:id="225"/>
    <w:bookmarkEnd w:id="226"/>
    <w:bookmarkStart w:id="230" w:name="klasse-subdivision"/>
    <w:p>
      <w:pPr>
        <w:pStyle w:val="berschrift3"/>
      </w:pPr>
      <w:r>
        <w:t xml:space="preserve">Klasse: Subdivision</w:t>
      </w:r>
      <w:r>
        <w:t xml:space="preserve"> </w:t>
      </w:r>
      <w:bookmarkStart w:id="227" w:name="Subdivision"/>
      <w:bookmarkEnd w:id="227"/>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228"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228"/>
    <w:bookmarkStart w:id="229"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229"/>
    <w:bookmarkEnd w:id="230"/>
    <w:bookmarkStart w:id="248" w:name="klasse-paragraph"/>
    <w:p>
      <w:pPr>
        <w:pStyle w:val="berschrift3"/>
      </w:pPr>
      <w:r>
        <w:t xml:space="preserve">Klasse: Paragraph</w:t>
      </w:r>
      <w:r>
        <w:t xml:space="preserve"> </w:t>
      </w:r>
      <w:bookmarkStart w:id="231" w:name="Paragraph"/>
      <w:bookmarkEnd w:id="231"/>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232"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232"/>
    <w:bookmarkStart w:id="233"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233"/>
    <w:bookmarkStart w:id="247" w:name="beispiele-12"/>
    <w:p>
      <w:pPr>
        <w:pStyle w:val="berschrift4"/>
      </w:pPr>
      <w:r>
        <w:t xml:space="preserve">Beispiele</w:t>
      </w:r>
    </w:p>
    <w:bookmarkStart w:id="234" w:name="beispiel-paragraph-sr101-5-2"/>
    <w:p>
      <w:pPr>
        <w:pStyle w:val="berschrift5"/>
      </w:pPr>
      <w:r>
        <w:t xml:space="preserve">Beispiel Paragraph: sr101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4"/>
    <w:bookmarkStart w:id="235" w:name="beispiel-paragraph-sr101-3-1"/>
    <w:p>
      <w:pPr>
        <w:pStyle w:val="berschrift5"/>
      </w:pPr>
      <w:r>
        <w:t xml:space="preserve">Beispiel Paragraph: sr101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5"/>
    <w:bookmarkStart w:id="236" w:name="beispiel-paragraph-sr101-6-1"/>
    <w:p>
      <w:pPr>
        <w:pStyle w:val="berschrift5"/>
      </w:pPr>
      <w:r>
        <w:t xml:space="preserve">Beispiel Paragraph: sr101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6"/>
    <w:bookmarkStart w:id="237" w:name="beispiel-paragraph-sr101-2-4"/>
    <w:p>
      <w:pPr>
        <w:pStyle w:val="berschrift5"/>
      </w:pPr>
      <w:r>
        <w:t xml:space="preserve">Beispiel Paragraph: sr101 2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7"/>
    <w:bookmarkStart w:id="238" w:name="beispiel-paragraph-sr101-5-1"/>
    <w:p>
      <w:pPr>
        <w:pStyle w:val="berschrift5"/>
      </w:pPr>
      <w:r>
        <w:t xml:space="preserve">Beispiel Paragraph: sr101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8"/>
    <w:bookmarkStart w:id="239" w:name="beispiel-paragraph-sr101-4-1"/>
    <w:p>
      <w:pPr>
        <w:pStyle w:val="berschrift5"/>
      </w:pPr>
      <w:r>
        <w:t xml:space="preserve">Beispiel Paragraph: sr101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9"/>
    <w:bookmarkStart w:id="240" w:name="beispiel-paragraph-sr101-5-3"/>
    <w:p>
      <w:pPr>
        <w:pStyle w:val="berschrift5"/>
      </w:pPr>
      <w:r>
        <w:t xml:space="preserve">Beispiel Paragraph: sr101 5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0"/>
    <w:bookmarkStart w:id="241" w:name="X1e36501ff48dbd80c499a8218cfa217f9241ca2"/>
    <w:p>
      <w:pPr>
        <w:pStyle w:val="berschrift5"/>
      </w:pPr>
      <w:r>
        <w:t xml:space="preserve">Beispiel Paragraph: Paragraph with a list instead of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1"/>
    <w:bookmarkStart w:id="242" w:name="beispiel-paragraph-sr101-7-1"/>
    <w:p>
      <w:pPr>
        <w:pStyle w:val="berschrift5"/>
      </w:pPr>
      <w:r>
        <w:t xml:space="preserve">Beispiel Paragraph: sr101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2"/>
    <w:bookmarkStart w:id="243" w:name="beispiel-paragraph-sr101-5-4"/>
    <w:p>
      <w:pPr>
        <w:pStyle w:val="berschrift5"/>
      </w:pPr>
      <w:r>
        <w:t xml:space="preserve">Beispiel Paragraph: sr101 5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3"/>
    <w:bookmarkStart w:id="244" w:name="beispiel-paragraph-sr101-2-2"/>
    <w:p>
      <w:pPr>
        <w:pStyle w:val="berschrift5"/>
      </w:pPr>
      <w:r>
        <w:t xml:space="preserve">Beispiel Paragraph: sr101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4"/>
    <w:bookmarkStart w:id="245" w:name="beispiel-paragraph-sr101-2-3"/>
    <w:p>
      <w:pPr>
        <w:pStyle w:val="berschrift5"/>
      </w:pPr>
      <w:r>
        <w:t xml:space="preserve">Beispiel Paragraph: sr101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5"/>
    <w:bookmarkStart w:id="246" w:name="X7bf6d2afef17241ff49e39e66ad3fed4aad8a7f"/>
    <w:p>
      <w:pPr>
        <w:pStyle w:val="berschrift5"/>
      </w:pPr>
      <w:r>
        <w:t xml:space="preserve">Beispiel Paragraph: Paragraph with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6"/>
    <w:bookmarkEnd w:id="247"/>
    <w:bookmarkEnd w:id="248"/>
    <w:bookmarkStart w:id="252" w:name="klasse-transitional"/>
    <w:p>
      <w:pPr>
        <w:pStyle w:val="berschrift3"/>
      </w:pPr>
      <w:r>
        <w:t xml:space="preserve">Klasse: Transitional</w:t>
      </w:r>
      <w:r>
        <w:t xml:space="preserve"> </w:t>
      </w:r>
      <w:bookmarkStart w:id="249" w:name="Transitional"/>
      <w:bookmarkEnd w:id="249"/>
    </w:p>
    <w:p>
      <w:pPr>
        <w:pStyle w:val="FirstParagraph"/>
      </w:pPr>
      <w:r>
        <w:rPr>
          <w:i/>
          <w:iCs/>
        </w:rPr>
        <w:t xml:space="preserve">Eine Übergangsbestimmung im Hauptteil eines Erlasses (akn:transitional). Als Hauptteil-Element auf oberster Ebene erlaubt (FLX-BD-001). Struktur wie Artikel.</w:t>
      </w:r>
    </w:p>
    <w:bookmarkStart w:id="250"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250"/>
    <w:bookmarkStart w:id="251"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251"/>
    <w:bookmarkEnd w:id="252"/>
    <w:bookmarkStart w:id="256" w:name="klasse-proviso"/>
    <w:p>
      <w:pPr>
        <w:pStyle w:val="berschrift3"/>
      </w:pPr>
      <w:r>
        <w:t xml:space="preserve">Klasse: Proviso</w:t>
      </w:r>
      <w:r>
        <w:t xml:space="preserve"> </w:t>
      </w:r>
      <w:bookmarkStart w:id="253" w:name="Proviso"/>
      <w:bookmarkEnd w:id="253"/>
    </w:p>
    <w:p>
      <w:pPr>
        <w:pStyle w:val="FirstParagraph"/>
      </w:pPr>
      <w:r>
        <w:rPr>
          <w:i/>
          <w:iCs/>
        </w:rPr>
        <w:t xml:space="preserve">Ein Vorbehalt im Hauptteil eines Erlasses (akn:proviso). Als Hauptteil-Element auf oberster Ebene erlaubt (FLX-BD-001). Erscheint typischerweise nach den Hauptartikeln.</w:t>
      </w:r>
    </w:p>
    <w:bookmarkStart w:id="254"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54"/>
    <w:bookmarkStart w:id="255"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255"/>
    <w:bookmarkEnd w:id="256"/>
    <w:bookmarkEnd w:id="257"/>
    <w:bookmarkStart w:id="292" w:name="blockinhalte"/>
    <w:p>
      <w:pPr>
        <w:pStyle w:val="berschrift2"/>
      </w:pPr>
      <w:r>
        <w:t xml:space="preserve">Blockinhalte</w:t>
      </w:r>
    </w:p>
    <w:p>
      <w:pPr>
        <w:pStyle w:val="FirstParagraph"/>
      </w:pPr>
      <w:r>
        <w:t xml:space="preserve">Auf der untersten Ebene stehen die Inhaltsblöcke: Absätze, Listen und Tabellen. Sie stehen nicht in getrennten Listen je Art, sondern in einer einzigen geordneten Folge —</w:t>
      </w:r>
      <w:r>
        <w:t xml:space="preserve"> </w:t>
      </w:r>
      <w:r>
        <w:rPr>
          <w:rStyle w:val="VerbatimChar"/>
        </w:rPr>
        <w:t xml:space="preserve">content_blocks</w:t>
      </w:r>
      <w:r>
        <w:t xml:space="preserve"> </w:t>
      </w:r>
      <w:r>
        <w:t xml:space="preserve">—, weil ein Absatz im Erlass auf eine Aufzählung folgen kann und darauf wieder ein Absatz. Getrennte Listen würden diese Reihenfolge verlieren; in der Bundesverfassung betrifft das 23 Stellen. Welche Art ein Eintrag hat, sagt er selbst über</w:t>
      </w:r>
      <w:r>
        <w:t xml:space="preserve"> </w:t>
      </w:r>
      <w:r>
        <w:rPr>
          <w:rStyle w:val="VerbatimChar"/>
        </w:rPr>
        <w:t xml:space="preserve">element_type</w:t>
      </w:r>
      <w:r>
        <w:t xml:space="preserve"> </w:t>
      </w:r>
      <w:r>
        <w:t xml:space="preserve">— dasselbe Verfahren, mit dem auch die Textauszeichnung ihre Reihenfolge hält.</w:t>
      </w:r>
    </w:p>
    <w:bookmarkStart w:id="261" w:name="klasse-blockelement"/>
    <w:p>
      <w:pPr>
        <w:pStyle w:val="berschrift3"/>
      </w:pPr>
      <w:r>
        <w:t xml:space="preserve">Klasse: BlockElement</w:t>
      </w:r>
      <w:r>
        <w:t xml:space="preserve"> </w:t>
      </w:r>
      <w:bookmarkStart w:id="258" w:name="BlockElement"/>
      <w:bookmarkEnd w:id="258"/>
    </w:p>
    <w:p>
      <w:pPr>
        <w:pStyle w:val="FirstParagraph"/>
      </w:pPr>
      <w:r>
        <w:rPr>
          <w:i/>
          <w:iCs/>
        </w:rPr>
        <w:t xml:space="preserve">Abstrakte Basis für ein Element auf Blockebene innerhalb von Inhalt, Aufzählungsposition oder Tabellenzelle (akn:p, akn:blockList, akn:table).</w:t>
      </w:r>
    </w:p>
    <w:bookmarkStart w:id="259"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259"/>
    <w:bookmarkStart w:id="260" w:name="verwendungen-2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ontent">
              <w:r>
                <w:rPr>
                  <w:rStyle w:val="Hyperlink"/>
                </w:rPr>
                <w:t xml:space="preserve">Content</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TableCell">
              <w:r>
                <w:rPr>
                  <w:rStyle w:val="Hyperlink"/>
                </w:rPr>
                <w:t xml:space="preserve">TableCell</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MainBody">
              <w:r>
                <w:rPr>
                  <w:rStyle w:val="Hyperlink"/>
                </w:rPr>
                <w:t xml:space="preserve">MainBody</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bl>
    <w:bookmarkEnd w:id="260"/>
    <w:bookmarkEnd w:id="261"/>
    <w:bookmarkStart w:id="270" w:name="klasse-content"/>
    <w:p>
      <w:pPr>
        <w:pStyle w:val="berschrift3"/>
      </w:pPr>
      <w:r>
        <w:t xml:space="preserve">Klasse: Content</w:t>
      </w:r>
      <w:r>
        <w:t xml:space="preserve"> </w:t>
      </w:r>
      <w:bookmarkStart w:id="262" w:name="Content"/>
      <w:bookmarkEnd w:id="262"/>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263"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63"/>
    <w:bookmarkStart w:id="264" w:name="verwendungen-2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bl>
    <w:bookmarkEnd w:id="264"/>
    <w:bookmarkStart w:id="269" w:name="beispiele-13"/>
    <w:p>
      <w:pPr>
        <w:pStyle w:val="berschrift4"/>
      </w:pPr>
      <w:r>
        <w:t xml:space="preserve">Beispiele</w:t>
      </w:r>
    </w:p>
    <w:bookmarkStart w:id="265" w:name="beispiel-content-sr101-2-1"/>
    <w:p>
      <w:pPr>
        <w:pStyle w:val="berschrift5"/>
      </w:pPr>
      <w:r>
        <w:t xml:space="preserve">Beispiel Content: sr101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Staatliches Handeln muss im öffentlichen Interesse liegen und verhältnismässig</w:t>
      </w:r>
      <w:r>
        <w:br/>
      </w:r>
      <w:r>
        <w:rPr>
          <w:rStyle w:val="NormalTok"/>
        </w:rPr>
        <w:t xml:space="preserve">        sein.</w:t>
      </w:r>
    </w:p>
    <w:bookmarkEnd w:id="265"/>
    <w:bookmarkStart w:id="266" w:name="beispiel-content-sr101-4-1"/>
    <w:p>
      <w:pPr>
        <w:pStyle w:val="berschrift5"/>
      </w:pPr>
      <w:r>
        <w:t xml:space="preserve">Beispiel Content: sr101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und Kantone beachten das Völkerrecht.</w:t>
      </w:r>
    </w:p>
    <w:bookmarkEnd w:id="266"/>
    <w:bookmarkStart w:id="267" w:name="beispiel-content-sr101-1-1"/>
    <w:p>
      <w:pPr>
        <w:pStyle w:val="berschrift5"/>
      </w:pPr>
      <w:r>
        <w:t xml:space="preserve">Beispiel Content: sr101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Jede Person nimmt Verantwortung für sich selber wahr und trägt nach ihren</w:t>
      </w:r>
      <w:r>
        <w:br/>
      </w:r>
      <w:r>
        <w:rPr>
          <w:rStyle w:val="NormalTok"/>
        </w:rPr>
        <w:t xml:space="preserve">        Kräften zur Bewältigung der Aufgaben in Staat und Gesellschaft bei.</w:t>
      </w:r>
    </w:p>
    <w:bookmarkEnd w:id="267"/>
    <w:bookmarkStart w:id="268" w:name="beispiel-content-sr101-3-1"/>
    <w:p>
      <w:pPr>
        <w:pStyle w:val="berschrift5"/>
      </w:pPr>
      <w:r>
        <w:t xml:space="preserve">Beispiel Content: sr101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Staatliche Organe und Private handeln nach Treu und Glauben.</w:t>
      </w:r>
    </w:p>
    <w:bookmarkEnd w:id="268"/>
    <w:bookmarkEnd w:id="269"/>
    <w:bookmarkEnd w:id="270"/>
    <w:bookmarkStart w:id="273" w:name="klasse-blockparagraph"/>
    <w:p>
      <w:pPr>
        <w:pStyle w:val="berschrift3"/>
      </w:pPr>
      <w:r>
        <w:t xml:space="preserve">Klasse: BlockParagraph</w:t>
      </w:r>
      <w:r>
        <w:t xml:space="preserve"> </w:t>
      </w:r>
      <w:bookmarkStart w:id="271" w:name="BlockParagraph"/>
      <w:bookmarkEnd w:id="271"/>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272"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72"/>
    <w:bookmarkEnd w:id="273"/>
    <w:bookmarkStart w:id="276" w:name="klasse-blocklist"/>
    <w:p>
      <w:pPr>
        <w:pStyle w:val="berschrift3"/>
      </w:pPr>
      <w:r>
        <w:t xml:space="preserve">Klasse: BlockList</w:t>
      </w:r>
      <w:r>
        <w:t xml:space="preserve"> </w:t>
      </w:r>
      <w:bookmarkStart w:id="274" w:name="BlockList"/>
      <w:bookmarkEnd w:id="274"/>
    </w:p>
    <w:p>
      <w:pPr>
        <w:pStyle w:val="FirstParagraph"/>
      </w:pPr>
      <w:r>
        <w:rPr>
          <w:i/>
          <w:iCs/>
        </w:rPr>
        <w:t xml:space="preserve">Eine Auflistung von nummerierten oder buchstabierten Punkten (akn:blockList), optional eingeleitet durch ein akn:listIntroduction-Element.</w:t>
      </w:r>
    </w:p>
    <w:bookmarkStart w:id="27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75"/>
    <w:bookmarkEnd w:id="276"/>
    <w:bookmarkStart w:id="280" w:name="klasse-blocklistitem"/>
    <w:p>
      <w:pPr>
        <w:pStyle w:val="berschrift3"/>
      </w:pPr>
      <w:r>
        <w:t xml:space="preserve">Klasse: BlockListItem</w:t>
      </w:r>
      <w:r>
        <w:t xml:space="preserve"> </w:t>
      </w:r>
      <w:bookmarkStart w:id="277" w:name="BlockListItem"/>
      <w:bookmarkEnd w:id="277"/>
    </w:p>
    <w:p>
      <w:pPr>
        <w:pStyle w:val="FirstParagraph"/>
      </w:pPr>
      <w:r>
        <w:rPr>
          <w:i/>
          <w:iCs/>
        </w:rPr>
        <w:t xml:space="preserve">Ein einzelner Punkt in einer Auflistung (akn:item). Trägt ein num-Label und Block-Inhalt direkt: Fliesstext-Absätze (akn:p) und optional verschachtelte Listen.</w:t>
      </w:r>
    </w:p>
    <w:bookmarkStart w:id="278"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78"/>
    <w:bookmarkStart w:id="279"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279"/>
    <w:bookmarkEnd w:id="280"/>
    <w:bookmarkStart w:id="283" w:name="klasse-table"/>
    <w:p>
      <w:pPr>
        <w:pStyle w:val="berschrift3"/>
      </w:pPr>
      <w:r>
        <w:t xml:space="preserve">Klasse: Table</w:t>
      </w:r>
      <w:r>
        <w:t xml:space="preserve"> </w:t>
      </w:r>
      <w:bookmarkStart w:id="281" w:name="Table"/>
      <w:bookmarkEnd w:id="281"/>
    </w:p>
    <w:p>
      <w:pPr>
        <w:pStyle w:val="FirstParagraph"/>
      </w:pPr>
      <w:r>
        <w:rPr>
          <w:i/>
          <w:iCs/>
        </w:rPr>
        <w:t xml:space="preserve">Ein Tabellen-Element innerhalb von Content (akn:table). Enthält Zeilen (akn:tr) mit Zellen (akn:td). Entspricht dem HTML-Tabellenmodell.</w:t>
      </w:r>
    </w:p>
    <w:bookmarkStart w:id="282"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82"/>
    <w:bookmarkEnd w:id="283"/>
    <w:bookmarkStart w:id="287" w:name="klasse-tablerow"/>
    <w:p>
      <w:pPr>
        <w:pStyle w:val="berschrift3"/>
      </w:pPr>
      <w:r>
        <w:t xml:space="preserve">Klasse: TableRow</w:t>
      </w:r>
      <w:r>
        <w:t xml:space="preserve"> </w:t>
      </w:r>
      <w:bookmarkStart w:id="284" w:name="TableRow"/>
      <w:bookmarkEnd w:id="284"/>
    </w:p>
    <w:p>
      <w:pPr>
        <w:pStyle w:val="FirstParagraph"/>
      </w:pPr>
      <w:r>
        <w:rPr>
          <w:i/>
          <w:iCs/>
        </w:rPr>
        <w:t xml:space="preserve">Eine Zeile in einer AkomaNtoso-Tabelle (akn:tr).</w:t>
      </w:r>
    </w:p>
    <w:bookmarkStart w:id="285"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285"/>
    <w:bookmarkStart w:id="286" w:name="verwendungen-2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286"/>
    <w:bookmarkEnd w:id="287"/>
    <w:bookmarkStart w:id="291" w:name="klasse-tablecell"/>
    <w:p>
      <w:pPr>
        <w:pStyle w:val="berschrift3"/>
      </w:pPr>
      <w:r>
        <w:t xml:space="preserve">Klasse: TableCell</w:t>
      </w:r>
      <w:r>
        <w:t xml:space="preserve"> </w:t>
      </w:r>
      <w:bookmarkStart w:id="288" w:name="TableCell"/>
      <w:bookmarkEnd w:id="288"/>
    </w:p>
    <w:p>
      <w:pPr>
        <w:pStyle w:val="FirstParagraph"/>
      </w:pPr>
      <w:r>
        <w:rPr>
          <w:i/>
          <w:iCs/>
        </w:rPr>
        <w:t xml:space="preserve">Eine Zelle in einer Tabellenzeile (akn:td). Enthält Block-Inhalt: Fliesstext-Absätze (akn:p) und Auflistungen (akn:blockList).</w:t>
      </w:r>
    </w:p>
    <w:bookmarkStart w:id="289"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289"/>
    <w:bookmarkStart w:id="290" w:name="verwendungen-2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290"/>
    <w:bookmarkEnd w:id="291"/>
    <w:bookmarkEnd w:id="292"/>
    <w:bookmarkStart w:id="332" w:name="anhänge"/>
    <w:p>
      <w:pPr>
        <w:pStyle w:val="berschrift2"/>
      </w:pPr>
      <w:r>
        <w:t xml:space="preserve">Anhänge</w:t>
      </w:r>
    </w:p>
    <w:p>
      <w:pPr>
        <w:pStyle w:val="FirstParagraph"/>
      </w:pPr>
      <w:r>
        <w:t xml:space="preserve">Ein Erlass kann Dokumente mitführen, die nicht Teil seines Artikeltextes sind — im Bundesrecht regelmässig einen Anhang. Solche Dokumente stehen in</w:t>
      </w:r>
      <w:r>
        <w:t xml:space="preserve"> </w:t>
      </w:r>
      <w:r>
        <w:rPr>
          <w:rStyle w:val="VerbatimChar"/>
        </w:rPr>
        <w:t xml:space="preserve">akn:components</w:t>
      </w:r>
      <w:r>
        <w:t xml:space="preserve"> </w:t>
      </w:r>
      <w:r>
        <w:t xml:space="preserve">und sind je ein eigenes</w:t>
      </w:r>
      <w:r>
        <w:t xml:space="preserve"> </w:t>
      </w:r>
      <w:r>
        <w:rPr>
          <w:rStyle w:val="VerbatimChar"/>
        </w:rPr>
        <w:t xml:space="preserve">akn:doc</w:t>
      </w:r>
      <w:r>
        <w:t xml:space="preserve"> </w:t>
      </w:r>
      <w:r>
        <w:t xml:space="preserve">mit eigenem Vorspann und eigenem Hauptteil. Beim Öffentlichkeitsgesetz enthält der Anhang die Änderung bisherigen Rechts, beim Datenschutzgesetz ebenso.</w:t>
      </w:r>
    </w:p>
    <w:p>
      <w:pPr>
        <w:pStyle w:val="Textkrper"/>
      </w:pPr>
      <w:r>
        <w:t xml:space="preserve">Zwei Eigenheiten sind dabei festzuhalten. Erstens wiederholt der Anhang in den Fedlex-Dateien die Identifikation des Erlasses unverändert — dieselben ELI-URIs, dieselben Daten und Namen. Er ist also nicht eigenständig identifiziert, sondern Teil desselben Werks. Zweitens nutzt sein Vorspann nicht die Absatzstruktur des Erlasses, sondern die generischen Behälter</w:t>
      </w:r>
      <w:r>
        <w:t xml:space="preserve"> </w:t>
      </w:r>
      <w:r>
        <w:rPr>
          <w:rStyle w:val="VerbatimChar"/>
        </w:rPr>
        <w:t xml:space="preserve">akn:container</w:t>
      </w:r>
      <w:r>
        <w:t xml:space="preserve"> </w:t>
      </w:r>
      <w:r>
        <w:t xml:space="preserve">und</w:t>
      </w:r>
      <w:r>
        <w:t xml:space="preserve"> </w:t>
      </w:r>
      <w:r>
        <w:rPr>
          <w:rStyle w:val="VerbatimChar"/>
        </w:rPr>
        <w:t xml:space="preserve">akn:block</w:t>
      </w:r>
      <w:r>
        <w:t xml:space="preserve">. Deren</w:t>
      </w:r>
      <w:r>
        <w:t xml:space="preserve"> </w:t>
      </w:r>
      <w:r>
        <w:rPr>
          <w:rStyle w:val="VerbatimChar"/>
        </w:rPr>
        <w:t xml:space="preserve">@name</w:t>
      </w:r>
      <w:r>
        <w:t xml:space="preserve"> </w:t>
      </w:r>
      <w:r>
        <w:t xml:space="preserve">ist in AKN frei wählbar; dieser Standard führt die Werte, die Fedlex tatsächlich verwendet, als Aufzählung:</w:t>
      </w:r>
      <w:r>
        <w:t xml:space="preserve"> </w:t>
      </w:r>
      <w:r>
        <w:rPr>
          <w:rStyle w:val="VerbatimChar"/>
        </w:rPr>
        <w:t xml:space="preserve">headerOfAnnex</w:t>
      </w:r>
      <w:r>
        <w:t xml:space="preserve"> </w:t>
      </w:r>
      <w:r>
        <w:t xml:space="preserve">für den Behälter,</w:t>
      </w:r>
      <w:r>
        <w:t xml:space="preserve"> </w:t>
      </w:r>
      <w:r>
        <w:rPr>
          <w:rStyle w:val="VerbatimChar"/>
        </w:rPr>
        <w:t xml:space="preserve">heading</w:t>
      </w:r>
      <w:r>
        <w:t xml:space="preserve"> </w:t>
      </w:r>
      <w:r>
        <w:t xml:space="preserve">und</w:t>
      </w:r>
      <w:r>
        <w:t xml:space="preserve"> </w:t>
      </w:r>
      <w:r>
        <w:rPr>
          <w:rStyle w:val="VerbatimChar"/>
        </w:rPr>
        <w:t xml:space="preserve">num</w:t>
      </w:r>
      <w:r>
        <w:t xml:space="preserve"> </w:t>
      </w:r>
      <w:r>
        <w:t xml:space="preserve">für den Block.</w:t>
      </w:r>
    </w:p>
    <w:p>
      <w:pPr>
        <w:pStyle w:val="Textkrper"/>
      </w:pPr>
      <w:r>
        <w:t xml:space="preserve">Der Hauptteil eines Anhangs (</w:t>
      </w:r>
      <w:r>
        <w:rPr>
          <w:rStyle w:val="VerbatimChar"/>
        </w:rPr>
        <w:t xml:space="preserve">akn:mainBody</w:t>
      </w:r>
      <w:r>
        <w:t xml:space="preserve">) kennt die Gesetzeshierarchie nicht. Er nimmt Absätze und Ebenen unmittelbar auf — und darin wieder dieselben Inhalts- und Auszeichnungselemente wie der Erlass selbst, bis hin zur Fussnote mit Verweis auf die Amtliche Sammlung.</w:t>
      </w:r>
    </w:p>
    <w:bookmarkStart w:id="296" w:name="klasse-components"/>
    <w:p>
      <w:pPr>
        <w:pStyle w:val="berschrift3"/>
      </w:pPr>
      <w:r>
        <w:t xml:space="preserve">Klasse: Components</w:t>
      </w:r>
      <w:r>
        <w:t xml:space="preserve"> </w:t>
      </w:r>
      <w:bookmarkStart w:id="293" w:name="Components"/>
      <w:bookmarkEnd w:id="293"/>
    </w:p>
    <w:p>
      <w:pPr>
        <w:pStyle w:val="FirstParagraph"/>
      </w:pPr>
      <w:r>
        <w:rPr>
          <w:i/>
          <w:iCs/>
        </w:rPr>
        <w:t xml:space="preserve">Behälter für die Dokumente, die einem Erlass beiliegen (akn:components) — etwa seinen Anhang.</w:t>
      </w:r>
    </w:p>
    <w:bookmarkStart w:id="294"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component_list</w:t>
            </w:r>
          </w:p>
        </w:tc>
        <w:tc>
          <w:tcPr>
            <w:shd w:val="clear" w:color="auto" w:fill="F2F2F2"/>
          </w:tcPr>
          <w:p>
            <w:pPr>
              <w:pStyle w:val="Compact"/>
            </w:pPr>
            <w:r>
              <w:t xml:space="preserve">*</w:t>
            </w:r>
            <w:r>
              <w:t xml:space="preserve"> </w:t>
            </w:r>
            <w:r>
              <w:t xml:space="preserve"> </w:t>
            </w:r>
            <w:hyperlink w:anchor="Component">
              <w:r>
                <w:rPr>
                  <w:rStyle w:val="Hyperlink"/>
                </w:rPr>
                <w:t xml:space="preserve">Component</w:t>
              </w:r>
            </w:hyperlink>
          </w:p>
        </w:tc>
        <w:tc>
          <w:tcPr>
            <w:shd w:val="clear" w:color="auto" w:fill="F2F2F2"/>
          </w:tcPr>
          <w:p>
            <w:pPr>
              <w:pStyle w:val="Compact"/>
            </w:pPr>
            <w:r>
              <w:t xml:space="preserve">Die beiliegenden Dokumente (akn:component).</w:t>
            </w:r>
          </w:p>
        </w:tc>
      </w:tr>
    </w:tbl>
    <w:bookmarkEnd w:id="294"/>
    <w:bookmarkStart w:id="295"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components_ref</w:t>
            </w:r>
          </w:p>
        </w:tc>
        <w:tc>
          <w:tcPr>
            <w:shd w:val="clear" w:color="auto" w:fill="F2F2F2"/>
          </w:tcPr>
          <w:p>
            <w:pPr>
              <w:pStyle w:val="Compact"/>
            </w:pPr>
            <w:r>
              <w:t xml:space="preserve">range</w:t>
            </w:r>
          </w:p>
        </w:tc>
        <w:tc>
          <w:tcPr>
            <w:shd w:val="clear" w:color="auto" w:fill="F2F2F2"/>
          </w:tcPr>
          <w:p>
            <w:pPr>
              <w:pStyle w:val="Compact"/>
            </w:pPr>
            <w:hyperlink w:anchor="Components">
              <w:r>
                <w:rPr>
                  <w:rStyle w:val="Hyperlink"/>
                </w:rPr>
                <w:t xml:space="preserve">Components</w:t>
              </w:r>
            </w:hyperlink>
          </w:p>
        </w:tc>
      </w:tr>
    </w:tbl>
    <w:bookmarkEnd w:id="295"/>
    <w:bookmarkEnd w:id="296"/>
    <w:bookmarkStart w:id="300" w:name="klasse-component"/>
    <w:p>
      <w:pPr>
        <w:pStyle w:val="berschrift3"/>
      </w:pPr>
      <w:r>
        <w:t xml:space="preserve">Klasse: Component</w:t>
      </w:r>
      <w:r>
        <w:t xml:space="preserve"> </w:t>
      </w:r>
      <w:bookmarkStart w:id="297" w:name="Component"/>
      <w:bookmarkEnd w:id="297"/>
    </w:p>
    <w:p>
      <w:pPr>
        <w:pStyle w:val="FirstParagraph"/>
      </w:pPr>
      <w:r>
        <w:rPr>
          <w:i/>
          <w:iCs/>
        </w:rPr>
        <w:t xml:space="preserve">Ein einzelnes beiliegendes Dokument (akn:component).</w:t>
      </w:r>
    </w:p>
    <w:bookmarkStart w:id="298"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doc_ref</w:t>
            </w:r>
          </w:p>
        </w:tc>
        <w:tc>
          <w:tcPr>
            <w:shd w:val="clear" w:color="auto" w:fill="F2F2F2"/>
          </w:tcPr>
          <w:p>
            <w:pPr>
              <w:pStyle w:val="Compact"/>
            </w:pPr>
            <w:r>
              <w:t xml:space="preserve">0..1</w:t>
            </w:r>
            <w:r>
              <w:t xml:space="preserve"> </w:t>
            </w:r>
            <w:r>
              <w:t xml:space="preserve"> </w:t>
            </w:r>
            <w:hyperlink w:anchor="Doc">
              <w:r>
                <w:rPr>
                  <w:rStyle w:val="Hyperlink"/>
                </w:rPr>
                <w:t xml:space="preserve">Doc</w:t>
              </w:r>
            </w:hyperlink>
          </w:p>
        </w:tc>
        <w:tc>
          <w:tcPr>
            <w:shd w:val="clear" w:color="auto" w:fill="F2F2F2"/>
          </w:tcPr>
          <w:p>
            <w:pPr>
              <w:pStyle w:val="Compact"/>
            </w:pPr>
            <w:r>
              <w:t xml:space="preserve">Das beiliegende Dokument selbst (akn:doc).</w:t>
            </w:r>
          </w:p>
        </w:tc>
      </w:tr>
    </w:tbl>
    <w:bookmarkEnd w:id="298"/>
    <w:bookmarkStart w:id="299"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s">
              <w:r>
                <w:rPr>
                  <w:rStyle w:val="Hyperlink"/>
                </w:rPr>
                <w:t xml:space="preserve">Components</w:t>
              </w:r>
            </w:hyperlink>
          </w:p>
        </w:tc>
        <w:tc>
          <w:tcPr>
            <w:shd w:val="clear" w:color="auto" w:fill="F2F2F2"/>
          </w:tcPr>
          <w:p>
            <w:pPr>
              <w:pStyle w:val="Compact"/>
            </w:pPr>
            <w:r>
              <w:t xml:space="preserve">component_list</w:t>
            </w:r>
          </w:p>
        </w:tc>
        <w:tc>
          <w:tcPr>
            <w:shd w:val="clear" w:color="auto" w:fill="F2F2F2"/>
          </w:tcPr>
          <w:p>
            <w:pPr>
              <w:pStyle w:val="Compact"/>
            </w:pPr>
            <w:r>
              <w:t xml:space="preserve">range</w:t>
            </w:r>
          </w:p>
        </w:tc>
        <w:tc>
          <w:tcPr>
            <w:shd w:val="clear" w:color="auto" w:fill="F2F2F2"/>
          </w:tcPr>
          <w:p>
            <w:pPr>
              <w:pStyle w:val="Compact"/>
            </w:pPr>
            <w:hyperlink w:anchor="Component">
              <w:r>
                <w:rPr>
                  <w:rStyle w:val="Hyperlink"/>
                </w:rPr>
                <w:t xml:space="preserve">Component</w:t>
              </w:r>
            </w:hyperlink>
          </w:p>
        </w:tc>
      </w:tr>
    </w:tbl>
    <w:bookmarkEnd w:id="299"/>
    <w:bookmarkEnd w:id="300"/>
    <w:bookmarkStart w:id="304" w:name="klasse-doc"/>
    <w:p>
      <w:pPr>
        <w:pStyle w:val="berschrift3"/>
      </w:pPr>
      <w:r>
        <w:t xml:space="preserve">Klasse: Doc</w:t>
      </w:r>
      <w:r>
        <w:t xml:space="preserve"> </w:t>
      </w:r>
      <w:bookmarkStart w:id="301" w:name="Doc"/>
      <w:bookmarkEnd w:id="301"/>
    </w:p>
    <w:p>
      <w:pPr>
        <w:pStyle w:val="FirstParagraph"/>
      </w:pPr>
      <w:r>
        <w:rPr>
          <w:i/>
          <w:iCs/>
        </w:rPr>
        <w:t xml:space="preserve">Ein beiliegendes Dokument (akn:doc). Das</w:t>
      </w:r>
      <w:r>
        <w:rPr>
          <w:i/>
          <w:iCs/>
        </w:rPr>
        <w:t xml:space="preserve"> </w:t>
      </w:r>
      <w:r>
        <w:rPr>
          <w:i/>
          <w:iCs/>
        </w:rPr>
        <w:t xml:space="preserve">@name-Attribut</w:t>
      </w:r>
      <w:r>
        <w:rPr>
          <w:i/>
          <w:iCs/>
        </w:rPr>
        <w:t xml:space="preserve"> </w:t>
      </w:r>
      <w:r>
        <w:rPr>
          <w:i/>
          <w:iCs/>
        </w:rPr>
        <w:t xml:space="preserve">nennt die Art; Fedlex verwendet</w:t>
      </w:r>
      <w:r>
        <w:rPr>
          <w:i/>
          <w:iCs/>
        </w:rPr>
        <w:t xml:space="preserve"> </w:t>
      </w:r>
      <w:r>
        <w:rPr>
          <w:i/>
          <w:iCs/>
        </w:rPr>
        <w:t xml:space="preserve">‘annex’</w:t>
      </w:r>
      <w:r>
        <w:rPr>
          <w:i/>
          <w:iCs/>
        </w:rPr>
        <w:t xml:space="preserve">. Es führt einen eigenen Identifikationsblock, der in den Fedlex-Dateien die URIs des zugehörigen Erlasses wiederholt.</w:t>
      </w:r>
    </w:p>
    <w:bookmarkStart w:id="302"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doc_name</w:t>
            </w:r>
          </w:p>
        </w:tc>
        <w:tc>
          <w:tcPr>
            <w:shd w:val="clear" w:color="auto" w:fill="F2F2F2"/>
          </w:tcPr>
          <w:p>
            <w:pPr>
              <w:pStyle w:val="Compact"/>
            </w:pPr>
            <w:r>
              <w:t xml:space="preserve">0..1</w:t>
            </w:r>
            <w:r>
              <w:t xml:space="preserve"> </w:t>
            </w:r>
            <w:r>
              <w:t xml:space="preserve"> </w:t>
            </w:r>
            <w:hyperlink w:anchor="DocNameEnum">
              <w:r>
                <w:rPr>
                  <w:rStyle w:val="Hyperlink"/>
                </w:rPr>
                <w:t xml:space="preserve">DocNameEnum</w:t>
              </w:r>
            </w:hyperlink>
          </w:p>
        </w:tc>
        <w:tc>
          <w:tcPr>
            <w:shd w:val="clear" w:color="auto" w:fill="F2F2F2"/>
          </w:tcPr>
          <w:p>
            <w:pPr>
              <w:pStyle w:val="Compact"/>
            </w:pPr>
            <w:r>
              <w:t xml:space="preserve">Art des beiliegenden Dokuments (akn:doc/</w:t>
            </w:r>
            <w:r>
              <w:t xml:space="preserve">@name</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main_body</w:t>
            </w:r>
          </w:p>
        </w:tc>
        <w:tc>
          <w:tcPr/>
          <w:p>
            <w:pPr>
              <w:pStyle w:val="Compact"/>
            </w:pPr>
            <w:r>
              <w:t xml:space="preserve">0..1</w:t>
            </w:r>
            <w:r>
              <w:t xml:space="preserve"> </w:t>
            </w:r>
            <w:r>
              <w:t xml:space="preserve"> </w:t>
            </w:r>
            <w:hyperlink w:anchor="MainBody">
              <w:r>
                <w:rPr>
                  <w:rStyle w:val="Hyperlink"/>
                </w:rPr>
                <w:t xml:space="preserve">MainBody</w:t>
              </w:r>
            </w:hyperlink>
          </w:p>
        </w:tc>
        <w:tc>
          <w:tcPr/>
          <w:p>
            <w:pPr>
              <w:pStyle w:val="Compact"/>
            </w:pPr>
            <w:r>
              <w:t xml:space="preserve">Hauptteil des beiliegenden Dokuments (akn:mainBody).</w:t>
            </w:r>
          </w:p>
        </w:tc>
      </w:tr>
    </w:tbl>
    <w:bookmarkEnd w:id="302"/>
    <w:bookmarkStart w:id="303" w:name="verwendungen-3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
              <w:r>
                <w:rPr>
                  <w:rStyle w:val="Hyperlink"/>
                </w:rPr>
                <w:t xml:space="preserve">Component</w:t>
              </w:r>
            </w:hyperlink>
          </w:p>
        </w:tc>
        <w:tc>
          <w:tcPr>
            <w:shd w:val="clear" w:color="auto" w:fill="F2F2F2"/>
          </w:tcPr>
          <w:p>
            <w:pPr>
              <w:pStyle w:val="Compact"/>
            </w:pPr>
            <w:r>
              <w:t xml:space="preserve">doc_ref</w:t>
            </w:r>
          </w:p>
        </w:tc>
        <w:tc>
          <w:tcPr>
            <w:shd w:val="clear" w:color="auto" w:fill="F2F2F2"/>
          </w:tcPr>
          <w:p>
            <w:pPr>
              <w:pStyle w:val="Compact"/>
            </w:pPr>
            <w:r>
              <w:t xml:space="preserve">range</w:t>
            </w:r>
          </w:p>
        </w:tc>
        <w:tc>
          <w:tcPr>
            <w:shd w:val="clear" w:color="auto" w:fill="F2F2F2"/>
          </w:tcPr>
          <w:p>
            <w:pPr>
              <w:pStyle w:val="Compact"/>
            </w:pPr>
            <w:hyperlink w:anchor="Doc">
              <w:r>
                <w:rPr>
                  <w:rStyle w:val="Hyperlink"/>
                </w:rPr>
                <w:t xml:space="preserve">Doc</w:t>
              </w:r>
            </w:hyperlink>
          </w:p>
        </w:tc>
      </w:tr>
    </w:tbl>
    <w:bookmarkEnd w:id="303"/>
    <w:bookmarkEnd w:id="304"/>
    <w:bookmarkStart w:id="308" w:name="enum-docnameenum"/>
    <w:p>
      <w:pPr>
        <w:pStyle w:val="berschrift3"/>
      </w:pPr>
      <w:r>
        <w:t xml:space="preserve">Enum: DocNameEnum</w:t>
      </w:r>
      <w:r>
        <w:t xml:space="preserve"> </w:t>
      </w:r>
      <w:bookmarkStart w:id="305" w:name="DocNameEnum"/>
      <w:bookmarkEnd w:id="305"/>
    </w:p>
    <w:p>
      <w:pPr>
        <w:pStyle w:val="FirstParagraph"/>
      </w:pPr>
      <w:r>
        <w:rPr>
          <w:i/>
          <w:iCs/>
        </w:rPr>
        <w:t xml:space="preserve">Arten beiliegender Dokumente, die Fedlex in akn:doc/</w:t>
      </w:r>
      <w:r>
        <w:rPr>
          <w:i/>
          <w:iCs/>
        </w:rPr>
        <w:t xml:space="preserve">@name</w:t>
      </w:r>
      <w:r>
        <w:rPr>
          <w:i/>
          <w:iCs/>
        </w:rPr>
        <w:t xml:space="preserve"> </w:t>
      </w:r>
      <w:r>
        <w:rPr>
          <w:i/>
          <w:iCs/>
        </w:rPr>
        <w:t xml:space="preserve">verwendet.</w:t>
      </w:r>
    </w:p>
    <w:p>
      <w:pPr>
        <w:pStyle w:val="Textkrper"/>
      </w:pPr>
      <w:r>
        <w:t xml:space="preserve">URI:</w:t>
      </w:r>
      <w:r>
        <w:t xml:space="preserve"> </w:t>
      </w:r>
      <w:hyperlink ns1:id="rId306">
        <w:r>
          <w:rPr>
            <w:rStyle w:val="Hyperlink"/>
          </w:rPr>
          <w:t xml:space="preserve">laws:DocNameEnum</w:t>
        </w:r>
      </w:hyperlink>
    </w:p>
    <w:bookmarkStart w:id="30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annex</w:t>
            </w:r>
          </w:p>
        </w:tc>
        <w:tc>
          <w:tcPr>
            <w:shd w:val="clear" w:color="auto" w:fill="F2F2F2"/>
          </w:tcPr>
          <w:p>
            <w:pPr>
              <w:pStyle w:val="Compact"/>
            </w:pPr>
            <w:r>
              <w:t xml:space="preserve">Ein Anhang zum Erlass.</w:t>
            </w:r>
          </w:p>
        </w:tc>
      </w:tr>
    </w:tbl>
    <w:bookmarkEnd w:id="307"/>
    <w:bookmarkEnd w:id="308"/>
    <w:bookmarkStart w:id="312" w:name="klasse-mainbody"/>
    <w:p>
      <w:pPr>
        <w:pStyle w:val="berschrift3"/>
      </w:pPr>
      <w:r>
        <w:t xml:space="preserve">Klasse: MainBody</w:t>
      </w:r>
      <w:r>
        <w:t xml:space="preserve"> </w:t>
      </w:r>
      <w:bookmarkStart w:id="309" w:name="MainBody"/>
      <w:bookmarkEnd w:id="309"/>
    </w:p>
    <w:p>
      <w:pPr>
        <w:pStyle w:val="FirstParagraph"/>
      </w:pPr>
      <w:r>
        <w:rPr>
          <w:i/>
          <w:iCs/>
        </w:rPr>
        <w:t xml:space="preserve">Hauptteil eines beiliegenden Dokuments (akn:mainBody). Anders als der Erlasskörper nimmt er Absätze und Ebenen unmittelbar auf, ohne die Gesetzeshierarchie.</w:t>
      </w:r>
    </w:p>
    <w:bookmarkStart w:id="310"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content_ref</w:t>
            </w:r>
          </w:p>
        </w:tc>
        <w:tc>
          <w:tcPr>
            <w:shd w:val="clear" w:color="auto" w:fill="F2F2F2"/>
          </w:tcPr>
          <w:p>
            <w:pPr>
              <w:pStyle w:val="Compact"/>
            </w:pPr>
            <w:r>
              <w:t xml:space="preserve">0..1</w:t>
            </w:r>
            <w:r>
              <w:t xml:space="preserve"> </w:t>
            </w:r>
            <w:r>
              <w:t xml:space="preserve"> </w:t>
            </w:r>
            <w:hyperlink w:anchor="Content">
              <w:r>
                <w:rPr>
                  <w:rStyle w:val="Hyperlink"/>
                </w:rPr>
                <w:t xml:space="preserve">Content</w:t>
              </w:r>
            </w:hyperlink>
          </w:p>
        </w:tc>
        <w:tc>
          <w:tcPr>
            <w:shd w:val="clear" w:color="auto" w:fill="F2F2F2"/>
          </w:tcPr>
          <w:p>
            <w:pPr>
              <w:pStyle w:val="Compact"/>
            </w:pPr>
            <w:r>
              <w:t xml:space="preserve">Inhaltselement innerhalb eines Absatzes (akn:content).</w:t>
            </w:r>
          </w:p>
        </w:tc>
      </w:tr>
    </w:tbl>
    <w:bookmarkEnd w:id="310"/>
    <w:bookmarkStart w:id="311" w:name="verwendungen-3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Doc">
              <w:r>
                <w:rPr>
                  <w:rStyle w:val="Hyperlink"/>
                </w:rPr>
                <w:t xml:space="preserve">Doc</w:t>
              </w:r>
            </w:hyperlink>
          </w:p>
        </w:tc>
        <w:tc>
          <w:tcPr>
            <w:shd w:val="clear" w:color="auto" w:fill="F2F2F2"/>
          </w:tcPr>
          <w:p>
            <w:pPr>
              <w:pStyle w:val="Compact"/>
            </w:pPr>
            <w:r>
              <w:t xml:space="preserve">main_body</w:t>
            </w:r>
          </w:p>
        </w:tc>
        <w:tc>
          <w:tcPr>
            <w:shd w:val="clear" w:color="auto" w:fill="F2F2F2"/>
          </w:tcPr>
          <w:p>
            <w:pPr>
              <w:pStyle w:val="Compact"/>
            </w:pPr>
            <w:r>
              <w:t xml:space="preserve">range</w:t>
            </w:r>
          </w:p>
        </w:tc>
        <w:tc>
          <w:tcPr>
            <w:shd w:val="clear" w:color="auto" w:fill="F2F2F2"/>
          </w:tcPr>
          <w:p>
            <w:pPr>
              <w:pStyle w:val="Compact"/>
            </w:pPr>
            <w:hyperlink w:anchor="MainBody">
              <w:r>
                <w:rPr>
                  <w:rStyle w:val="Hyperlink"/>
                </w:rPr>
                <w:t xml:space="preserve">MainBody</w:t>
              </w:r>
            </w:hyperlink>
          </w:p>
        </w:tc>
      </w:tr>
    </w:tbl>
    <w:bookmarkEnd w:id="311"/>
    <w:bookmarkEnd w:id="312"/>
    <w:bookmarkStart w:id="319" w:name="klasse-container"/>
    <w:p>
      <w:pPr>
        <w:pStyle w:val="berschrift3"/>
      </w:pPr>
      <w:r>
        <w:t xml:space="preserve">Klasse: Container</w:t>
      </w:r>
      <w:r>
        <w:t xml:space="preserve"> </w:t>
      </w:r>
      <w:bookmarkStart w:id="313" w:name="Container"/>
      <w:bookmarkEnd w:id="313"/>
    </w:p>
    <w:p>
      <w:pPr>
        <w:pStyle w:val="FirstParagraph"/>
      </w:pPr>
      <w:r>
        <w:rPr>
          <w:i/>
          <w:iCs/>
        </w:rPr>
        <w:t xml:space="preserve">Ein generischer Behälter (akn:container), dessen</w:t>
      </w:r>
      <w:r>
        <w:rPr>
          <w:i/>
          <w:iCs/>
        </w:rPr>
        <w:t xml:space="preserve"> </w:t>
      </w:r>
      <w:r>
        <w:rPr>
          <w:i/>
          <w:iCs/>
        </w:rPr>
        <w:t xml:space="preserve">@name</w:t>
      </w:r>
      <w:r>
        <w:rPr>
          <w:i/>
          <w:iCs/>
        </w:rPr>
        <w:t xml:space="preserve"> </w:t>
      </w:r>
      <w:r>
        <w:rPr>
          <w:i/>
          <w:iCs/>
        </w:rPr>
        <w:t xml:space="preserve">den Zweck nennt.</w:t>
      </w:r>
    </w:p>
    <w:bookmarkStart w:id="314"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container_name</w:t>
            </w:r>
          </w:p>
        </w:tc>
        <w:tc>
          <w:tcPr>
            <w:shd w:val="clear" w:color="auto" w:fill="F2F2F2"/>
          </w:tcPr>
          <w:p>
            <w:pPr>
              <w:pStyle w:val="Compact"/>
            </w:pPr>
            <w:r>
              <w:t xml:space="preserve">0..1</w:t>
            </w:r>
            <w:r>
              <w:t xml:space="preserve"> </w:t>
            </w:r>
            <w:r>
              <w:t xml:space="preserve"> </w:t>
            </w:r>
            <w:hyperlink w:anchor="ContainerNameEnum">
              <w:r>
                <w:rPr>
                  <w:rStyle w:val="Hyperlink"/>
                </w:rPr>
                <w:t xml:space="preserve">ContainerNameEnum</w:t>
              </w:r>
            </w:hyperlink>
          </w:p>
        </w:tc>
        <w:tc>
          <w:tcPr>
            <w:shd w:val="clear" w:color="auto" w:fill="F2F2F2"/>
          </w:tcPr>
          <w:p>
            <w:pPr>
              <w:pStyle w:val="Compact"/>
            </w:pPr>
            <w:r>
              <w:t xml:space="preserve">Zweck des Behälters (akn:container/</w:t>
            </w:r>
            <w:r>
              <w:t xml:space="preserve">@name</w:t>
            </w:r>
            <w:r>
              <w:t xml:space="preserve">).</w:t>
            </w:r>
          </w:p>
        </w:tc>
      </w:tr>
      <w:tr>
        <w:tc>
          <w:tcPr/>
          <w:p>
            <w:pPr>
              <w:pStyle w:val="Compact"/>
            </w:pPr>
            <w:r>
              <w:t xml:space="preserve">blocks</w:t>
            </w:r>
          </w:p>
        </w:tc>
        <w:tc>
          <w:tcPr/>
          <w:p>
            <w:pPr>
              <w:pStyle w:val="Compact"/>
            </w:pPr>
            <w:r>
              <w:t xml:space="preserve">*</w:t>
            </w:r>
            <w:r>
              <w:t xml:space="preserve"> </w:t>
            </w:r>
            <w:r>
              <w:t xml:space="preserve"> </w:t>
            </w:r>
            <w:hyperlink w:anchor="Block">
              <w:r>
                <w:rPr>
                  <w:rStyle w:val="Hyperlink"/>
                </w:rPr>
                <w:t xml:space="preserve">Block</w:t>
              </w:r>
            </w:hyperlink>
          </w:p>
        </w:tc>
        <w:tc>
          <w:tcPr/>
          <w:p>
            <w:pPr>
              <w:pStyle w:val="Compact"/>
            </w:pPr>
            <w:r>
              <w:t xml:space="preserve">Blöcke innerhalb des Behälters (akn:block).</w:t>
            </w:r>
          </w:p>
        </w:tc>
      </w:tr>
    </w:tbl>
    <w:bookmarkEnd w:id="314"/>
    <w:bookmarkStart w:id="315"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containers</w:t>
            </w:r>
          </w:p>
        </w:tc>
        <w:tc>
          <w:tcPr>
            <w:shd w:val="clear" w:color="auto" w:fill="F2F2F2"/>
          </w:tcPr>
          <w:p>
            <w:pPr>
              <w:pStyle w:val="Compact"/>
            </w:pPr>
            <w:r>
              <w:t xml:space="preserve">range</w:t>
            </w:r>
          </w:p>
        </w:tc>
        <w:tc>
          <w:tcPr>
            <w:shd w:val="clear" w:color="auto" w:fill="F2F2F2"/>
          </w:tcPr>
          <w:p>
            <w:pPr>
              <w:pStyle w:val="Compact"/>
            </w:pPr>
            <w:hyperlink w:anchor="Container">
              <w:r>
                <w:rPr>
                  <w:rStyle w:val="Hyperlink"/>
                </w:rPr>
                <w:t xml:space="preserve">Container</w:t>
              </w:r>
            </w:hyperlink>
          </w:p>
        </w:tc>
      </w:tr>
    </w:tbl>
    <w:bookmarkEnd w:id="315"/>
    <w:bookmarkStart w:id="318" w:name="beispiele-14"/>
    <w:p>
      <w:pPr>
        <w:pStyle w:val="berschrift4"/>
      </w:pPr>
      <w:r>
        <w:t xml:space="preserve">Beispiele</w:t>
      </w:r>
    </w:p>
    <w:bookmarkStart w:id="316" w:name="beispiel-container-bgoe"/>
    <w:p>
      <w:pPr>
        <w:pStyle w:val="berschrift5"/>
      </w:pPr>
      <w:r>
        <w:t xml:space="preserve">Beispiel Container: bgoe</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6"/>
    <w:bookmarkStart w:id="317" w:name="beispiel-container-sr101"/>
    <w:p>
      <w:pPr>
        <w:pStyle w:val="berschrift5"/>
      </w:pPr>
      <w:r>
        <w:t xml:space="preserve">Beispiel Container: sr101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317"/>
    <w:bookmarkEnd w:id="318"/>
    <w:bookmarkEnd w:id="319"/>
    <w:bookmarkStart w:id="323" w:name="enum-containernameenum"/>
    <w:p>
      <w:pPr>
        <w:pStyle w:val="berschrift3"/>
      </w:pPr>
      <w:r>
        <w:t xml:space="preserve">Enum: ContainerNameEnum</w:t>
      </w:r>
      <w:r>
        <w:t xml:space="preserve"> </w:t>
      </w:r>
      <w:bookmarkStart w:id="320" w:name="ContainerNameEnum"/>
      <w:bookmarkEnd w:id="320"/>
    </w:p>
    <w:p>
      <w:pPr>
        <w:pStyle w:val="FirstParagraph"/>
      </w:pPr>
      <w:r>
        <w:rPr>
          <w:i/>
          <w:iCs/>
        </w:rPr>
        <w:t xml:space="preserve">Zwecke, die Fedlex in akn:container/</w:t>
      </w:r>
      <w:r>
        <w:rPr>
          <w:i/>
          <w:iCs/>
        </w:rPr>
        <w:t xml:space="preserve">@name</w:t>
      </w:r>
      <w:r>
        <w:rPr>
          <w:i/>
          <w:iCs/>
        </w:rPr>
        <w:t xml:space="preserve"> </w:t>
      </w:r>
      <w:r>
        <w:rPr>
          <w:i/>
          <w:iCs/>
        </w:rPr>
        <w:t xml:space="preserve">verwendet.</w:t>
      </w:r>
    </w:p>
    <w:p>
      <w:pPr>
        <w:pStyle w:val="Textkrper"/>
      </w:pPr>
      <w:r>
        <w:t xml:space="preserve">URI:</w:t>
      </w:r>
      <w:r>
        <w:t xml:space="preserve"> </w:t>
      </w:r>
      <w:hyperlink ns1:id="rId321">
        <w:r>
          <w:rPr>
            <w:rStyle w:val="Hyperlink"/>
          </w:rPr>
          <w:t xml:space="preserve">laws:ContainerNameEnum</w:t>
        </w:r>
      </w:hyperlink>
    </w:p>
    <w:bookmarkStart w:id="32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headerOfAnnex</w:t>
            </w:r>
          </w:p>
        </w:tc>
        <w:tc>
          <w:tcPr>
            <w:shd w:val="clear" w:color="auto" w:fill="F2F2F2"/>
          </w:tcPr>
          <w:p>
            <w:pPr>
              <w:pStyle w:val="Compact"/>
            </w:pPr>
            <w:r>
              <w:t xml:space="preserve">Kopfbereich eines Anhangs.</w:t>
            </w:r>
          </w:p>
        </w:tc>
      </w:tr>
    </w:tbl>
    <w:bookmarkEnd w:id="322"/>
    <w:bookmarkEnd w:id="323"/>
    <w:bookmarkStart w:id="327" w:name="klasse-block"/>
    <w:p>
      <w:pPr>
        <w:pStyle w:val="berschrift3"/>
      </w:pPr>
      <w:r>
        <w:t xml:space="preserve">Klasse: Block</w:t>
      </w:r>
      <w:r>
        <w:t xml:space="preserve"> </w:t>
      </w:r>
      <w:bookmarkStart w:id="324" w:name="Block"/>
      <w:bookmarkEnd w:id="324"/>
    </w:p>
    <w:p>
      <w:pPr>
        <w:pStyle w:val="FirstParagraph"/>
      </w:pPr>
      <w:r>
        <w:rPr>
          <w:i/>
          <w:iCs/>
        </w:rPr>
        <w:t xml:space="preserve">Ein generischer Block (akn:block), dessen</w:t>
      </w:r>
      <w:r>
        <w:rPr>
          <w:i/>
          <w:iCs/>
        </w:rPr>
        <w:t xml:space="preserve"> </w:t>
      </w:r>
      <w:r>
        <w:rPr>
          <w:i/>
          <w:iCs/>
        </w:rPr>
        <w:t xml:space="preserve">@name</w:t>
      </w:r>
      <w:r>
        <w:rPr>
          <w:i/>
          <w:iCs/>
        </w:rPr>
        <w:t xml:space="preserve"> </w:t>
      </w:r>
      <w:r>
        <w:rPr>
          <w:i/>
          <w:iCs/>
        </w:rPr>
        <w:t xml:space="preserve">den Zweck nennt; trägt gemischten Inhalt.</w:t>
      </w:r>
    </w:p>
    <w:bookmarkStart w:id="325"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block_name</w:t>
            </w:r>
          </w:p>
        </w:tc>
        <w:tc>
          <w:tcPr>
            <w:shd w:val="clear" w:color="auto" w:fill="F2F2F2"/>
          </w:tcPr>
          <w:p>
            <w:pPr>
              <w:pStyle w:val="Compact"/>
            </w:pPr>
            <w:r>
              <w:t xml:space="preserve">0..1</w:t>
            </w:r>
            <w:r>
              <w:t xml:space="preserve"> </w:t>
            </w:r>
            <w:r>
              <w:t xml:space="preserve"> </w:t>
            </w:r>
            <w:hyperlink w:anchor="BlockNameEnum">
              <w:r>
                <w:rPr>
                  <w:rStyle w:val="Hyperlink"/>
                </w:rPr>
                <w:t xml:space="preserve">BlockNameEnum</w:t>
              </w:r>
            </w:hyperlink>
          </w:p>
        </w:tc>
        <w:tc>
          <w:tcPr>
            <w:shd w:val="clear" w:color="auto" w:fill="F2F2F2"/>
          </w:tcPr>
          <w:p>
            <w:pPr>
              <w:pStyle w:val="Compact"/>
            </w:pPr>
            <w:r>
              <w:t xml:space="preserve">Zweck des Blocks (akn:block/</w:t>
            </w:r>
            <w:r>
              <w:t xml:space="preserve">@name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325"/>
    <w:bookmarkStart w:id="326" w:name="verwendungen-3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blocks</w:t>
            </w:r>
          </w:p>
        </w:tc>
        <w:tc>
          <w:tcPr>
            <w:shd w:val="clear" w:color="auto" w:fill="F2F2F2"/>
          </w:tcPr>
          <w:p>
            <w:pPr>
              <w:pStyle w:val="Compact"/>
            </w:pPr>
            <w:r>
              <w:t xml:space="preserve">range</w:t>
            </w:r>
          </w:p>
        </w:tc>
        <w:tc>
          <w:tcPr>
            <w:shd w:val="clear" w:color="auto" w:fill="F2F2F2"/>
          </w:tcPr>
          <w:p>
            <w:pPr>
              <w:pStyle w:val="Compact"/>
            </w:pPr>
            <w:hyperlink w:anchor="Block">
              <w:r>
                <w:rPr>
                  <w:rStyle w:val="Hyperlink"/>
                </w:rPr>
                <w:t xml:space="preserve">Block</w:t>
              </w:r>
            </w:hyperlink>
          </w:p>
        </w:tc>
      </w:tr>
    </w:tbl>
    <w:bookmarkEnd w:id="326"/>
    <w:bookmarkEnd w:id="327"/>
    <w:bookmarkStart w:id="331" w:name="enum-blocknameenum"/>
    <w:p>
      <w:pPr>
        <w:pStyle w:val="berschrift3"/>
      </w:pPr>
      <w:r>
        <w:t xml:space="preserve">Enum: BlockNameEnum</w:t>
      </w:r>
      <w:r>
        <w:t xml:space="preserve"> </w:t>
      </w:r>
      <w:bookmarkStart w:id="328" w:name="BlockNameEnum"/>
      <w:bookmarkEnd w:id="328"/>
    </w:p>
    <w:p>
      <w:pPr>
        <w:pStyle w:val="FirstParagraph"/>
      </w:pPr>
      <w:r>
        <w:rPr>
          <w:i/>
          <w:iCs/>
        </w:rPr>
        <w:t xml:space="preserve">Zwecke, die Fedlex in akn:block/</w:t>
      </w:r>
      <w:r>
        <w:rPr>
          <w:i/>
          <w:iCs/>
        </w:rPr>
        <w:t xml:space="preserve">@name</w:t>
      </w:r>
      <w:r>
        <w:rPr>
          <w:i/>
          <w:iCs/>
        </w:rPr>
        <w:t xml:space="preserve"> </w:t>
      </w:r>
      <w:r>
        <w:rPr>
          <w:i/>
          <w:iCs/>
        </w:rPr>
        <w:t xml:space="preserve">verwendet.</w:t>
      </w:r>
    </w:p>
    <w:p>
      <w:pPr>
        <w:pStyle w:val="Textkrper"/>
      </w:pPr>
      <w:r>
        <w:t xml:space="preserve">URI:</w:t>
      </w:r>
      <w:r>
        <w:t xml:space="preserve"> </w:t>
      </w:r>
      <w:hyperlink ns1:id="rId329">
        <w:r>
          <w:rPr>
            <w:rStyle w:val="Hyperlink"/>
          </w:rPr>
          <w:t xml:space="preserve">laws:BlockNameEnum</w:t>
        </w:r>
      </w:hyperlink>
    </w:p>
    <w:bookmarkStart w:id="330"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heading</w:t>
            </w:r>
          </w:p>
        </w:tc>
        <w:tc>
          <w:tcPr>
            <w:shd w:val="clear" w:color="auto" w:fill="F2F2F2"/>
          </w:tcPr>
          <w:p>
            <w:pPr>
              <w:pStyle w:val="Compact"/>
            </w:pPr>
            <w:r>
              <w:t xml:space="preserve">Die Überschrift des umgebenden Behälters.</w:t>
            </w:r>
          </w:p>
        </w:tc>
      </w:tr>
      <w:tr>
        <w:tc>
          <w:tcPr/>
          <w:p>
            <w:pPr>
              <w:pStyle w:val="Compact"/>
            </w:pPr>
            <w:r>
              <w:t xml:space="preserve">num</w:t>
            </w:r>
          </w:p>
        </w:tc>
        <w:tc>
          <w:tcPr/>
          <w:p>
            <w:pPr>
              <w:pStyle w:val="Compact"/>
            </w:pPr>
            <w:r>
              <w:t xml:space="preserve">Die Nummer des umgebenden Behälters.</w:t>
            </w:r>
          </w:p>
        </w:tc>
      </w:tr>
    </w:tbl>
    <w:bookmarkEnd w:id="330"/>
    <w:p>
      <w:r>
        <w:br w:type="page"/>
      </w:r>
    </w:p>
    <w:bookmarkEnd w:id="331"/>
    <w:bookmarkEnd w:id="332"/>
    <w:bookmarkEnd w:id="333"/>
    <w:bookmarkStart w:id="375"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337" w:name="klasse-mixedtext"/>
    <w:p>
      <w:pPr>
        <w:pStyle w:val="berschrift3"/>
      </w:pPr>
      <w:r>
        <w:t xml:space="preserve">Klasse: MixedText</w:t>
      </w:r>
      <w:r>
        <w:t xml:space="preserve"> </w:t>
      </w:r>
      <w:bookmarkStart w:id="334" w:name="MixedText"/>
      <w:bookmarkEnd w:id="334"/>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335"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335"/>
    <w:bookmarkStart w:id="336"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336"/>
    <w:bookmarkEnd w:id="337"/>
    <w:bookmarkStart w:id="341" w:name="klasse-inlineelement"/>
    <w:p>
      <w:pPr>
        <w:pStyle w:val="berschrift3"/>
      </w:pPr>
      <w:r>
        <w:t xml:space="preserve">Klasse: InlineElement</w:t>
      </w:r>
      <w:r>
        <w:t xml:space="preserve"> </w:t>
      </w:r>
      <w:bookmarkStart w:id="338" w:name="InlineElement"/>
      <w:bookmarkEnd w:id="338"/>
    </w:p>
    <w:p>
      <w:pPr>
        <w:pStyle w:val="FirstParagraph"/>
      </w:pPr>
      <w:r>
        <w:rPr>
          <w:i/>
          <w:iCs/>
        </w:rPr>
        <w:t xml:space="preserve">Abstrakte Basis für ein modelliertes Inline-Markup-Element in gemischtem Inhalt.</w:t>
      </w:r>
    </w:p>
    <w:bookmarkStart w:id="33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339"/>
    <w:bookmarkStart w:id="340" w:name="verwendungen-3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lockParagraph">
              <w:r>
                <w:rPr>
                  <w:rStyle w:val="Hyperlink"/>
                </w:rPr>
                <w:t xml:space="preserve">BlockParagraph</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MixedText">
              <w:r>
                <w:rPr>
                  <w:rStyle w:val="Hyperlink"/>
                </w:rPr>
                <w:t xml:space="preserve">MixedText</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Ref">
              <w:r>
                <w:rPr>
                  <w:rStyle w:val="Hyperlink"/>
                </w:rPr>
                <w:t xml:space="preserve">Ref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
              <w:r>
                <w:rPr>
                  <w:rStyle w:val="Hyperlink"/>
                </w:rPr>
                <w:t xml:space="preserve">B</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
              <w:r>
                <w:rPr>
                  <w:rStyle w:val="Hyperlink"/>
                </w:rPr>
                <w:t xml:space="preserve">I</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up">
              <w:r>
                <w:rPr>
                  <w:rStyle w:val="Hyperlink"/>
                </w:rPr>
                <w:t xml:space="preserve">Sup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pan">
              <w:r>
                <w:rPr>
                  <w:rStyle w:val="Hyperlink"/>
                </w:rPr>
                <w:t xml:space="preserve">Span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nline">
              <w:r>
                <w:rPr>
                  <w:rStyle w:val="Hyperlink"/>
                </w:rPr>
                <w:t xml:space="preserve">Inline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laceholder">
              <w:r>
                <w:rPr>
                  <w:rStyle w:val="Hyperlink"/>
                </w:rPr>
                <w:t xml:space="preserve">Placeholder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lock">
              <w:r>
                <w:rPr>
                  <w:rStyle w:val="Hyperlink"/>
                </w:rPr>
                <w:t xml:space="preserve">Block</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340"/>
    <w:bookmarkEnd w:id="341"/>
    <w:bookmarkStart w:id="344" w:name="klasse-textrun"/>
    <w:p>
      <w:pPr>
        <w:pStyle w:val="berschrift3"/>
      </w:pPr>
      <w:r>
        <w:t xml:space="preserve">Klasse: TextRun</w:t>
      </w:r>
      <w:r>
        <w:t xml:space="preserve"> </w:t>
      </w:r>
      <w:bookmarkStart w:id="342" w:name="TextRun"/>
      <w:bookmarkEnd w:id="342"/>
    </w:p>
    <w:p>
      <w:pPr>
        <w:pStyle w:val="FirstParagraph"/>
      </w:pPr>
      <w:r>
        <w:rPr>
          <w:i/>
          <w:iCs/>
        </w:rPr>
        <w:t xml:space="preserve">Ein einfacher Textabschnitt in gemischtem Inhalt. Wird als Textknoten eines mixed-complexType ausgegeben, nicht als Element.</w:t>
      </w:r>
    </w:p>
    <w:bookmarkStart w:id="343"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3"/>
    <w:bookmarkEnd w:id="344"/>
    <w:bookmarkStart w:id="347" w:name="klasse-ref"/>
    <w:p>
      <w:pPr>
        <w:pStyle w:val="berschrift3"/>
      </w:pPr>
      <w:r>
        <w:t xml:space="preserve">Klasse: Ref</w:t>
      </w:r>
      <w:r>
        <w:t xml:space="preserve"> </w:t>
      </w:r>
      <w:bookmarkStart w:id="345" w:name="Ref"/>
      <w:bookmarkEnd w:id="345"/>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346"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6"/>
    <w:bookmarkEnd w:id="347"/>
    <w:bookmarkStart w:id="350" w:name="klasse-authorialnote"/>
    <w:p>
      <w:pPr>
        <w:pStyle w:val="berschrift3"/>
      </w:pPr>
      <w:r>
        <w:t xml:space="preserve">Klasse: AuthorialNote</w:t>
      </w:r>
      <w:r>
        <w:t xml:space="preserve"> </w:t>
      </w:r>
      <w:bookmarkStart w:id="348" w:name="AuthorialNote"/>
      <w:bookmarkEnd w:id="348"/>
    </w:p>
    <w:p>
      <w:pPr>
        <w:pStyle w:val="FirstParagraph"/>
      </w:pPr>
      <w:r>
        <w:rPr>
          <w:i/>
          <w:iCs/>
        </w:rPr>
        <w:t xml:space="preserve">Eine Fussnote des Autors (akn:authorialNote). Rekursiv in Block-Inhalt: enthält ein oder mehrere akn:p-Absätze, die selbst Inline-Inhalt tragen.</w:t>
      </w:r>
    </w:p>
    <w:bookmarkStart w:id="349"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9"/>
    <w:bookmarkEnd w:id="350"/>
    <w:bookmarkStart w:id="353" w:name="klasse-inline"/>
    <w:p>
      <w:pPr>
        <w:pStyle w:val="berschrift3"/>
      </w:pPr>
      <w:r>
        <w:t xml:space="preserve">Klasse: Inline</w:t>
      </w:r>
      <w:r>
        <w:t xml:space="preserve"> </w:t>
      </w:r>
      <w:bookmarkStart w:id="351" w:name="Inline"/>
      <w:bookmarkEnd w:id="351"/>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352"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2"/>
    <w:bookmarkEnd w:id="353"/>
    <w:bookmarkStart w:id="356" w:name="klasse-placeholder"/>
    <w:p>
      <w:pPr>
        <w:pStyle w:val="berschrift3"/>
      </w:pPr>
      <w:r>
        <w:t xml:space="preserve">Klasse: Placeholder</w:t>
      </w:r>
      <w:r>
        <w:t xml:space="preserve"> </w:t>
      </w:r>
      <w:bookmarkStart w:id="354" w:name="Placeholder"/>
      <w:bookmarkEnd w:id="354"/>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355"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5"/>
    <w:bookmarkEnd w:id="356"/>
    <w:bookmarkStart w:id="359" w:name="klasse-span"/>
    <w:p>
      <w:pPr>
        <w:pStyle w:val="berschrift3"/>
      </w:pPr>
      <w:r>
        <w:t xml:space="preserve">Klasse: Span</w:t>
      </w:r>
      <w:r>
        <w:t xml:space="preserve"> </w:t>
      </w:r>
      <w:bookmarkStart w:id="357" w:name="Span"/>
      <w:bookmarkEnd w:id="357"/>
    </w:p>
    <w:p>
      <w:pPr>
        <w:pStyle w:val="FirstParagraph"/>
      </w:pPr>
      <w:r>
        <w:rPr>
          <w:i/>
          <w:iCs/>
        </w:rPr>
        <w:t xml:space="preserve">Generischer Inline-Bereich (akn:span).</w:t>
      </w:r>
    </w:p>
    <w:bookmarkStart w:id="358"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8"/>
    <w:bookmarkEnd w:id="359"/>
    <w:bookmarkStart w:id="362" w:name="klasse-b"/>
    <w:p>
      <w:pPr>
        <w:pStyle w:val="berschrift3"/>
      </w:pPr>
      <w:r>
        <w:t xml:space="preserve">Klasse: B</w:t>
      </w:r>
      <w:r>
        <w:t xml:space="preserve"> </w:t>
      </w:r>
      <w:bookmarkStart w:id="360" w:name="B"/>
      <w:bookmarkEnd w:id="360"/>
    </w:p>
    <w:p>
      <w:pPr>
        <w:pStyle w:val="FirstParagraph"/>
      </w:pPr>
      <w:r>
        <w:rPr>
          <w:i/>
          <w:iCs/>
        </w:rPr>
        <w:t xml:space="preserve">Fett-Inline-Markup (akn:b).</w:t>
      </w:r>
    </w:p>
    <w:bookmarkStart w:id="361"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61"/>
    <w:bookmarkEnd w:id="362"/>
    <w:bookmarkStart w:id="365" w:name="klasse-i"/>
    <w:p>
      <w:pPr>
        <w:pStyle w:val="berschrift3"/>
      </w:pPr>
      <w:r>
        <w:t xml:space="preserve">Klasse: I</w:t>
      </w:r>
      <w:r>
        <w:t xml:space="preserve"> </w:t>
      </w:r>
      <w:bookmarkStart w:id="363" w:name="I"/>
      <w:bookmarkEnd w:id="363"/>
    </w:p>
    <w:p>
      <w:pPr>
        <w:pStyle w:val="FirstParagraph"/>
      </w:pPr>
      <w:r>
        <w:rPr>
          <w:i/>
          <w:iCs/>
        </w:rPr>
        <w:t xml:space="preserve">Kursiv-Inline-Markup (akn:i).</w:t>
      </w:r>
    </w:p>
    <w:bookmarkStart w:id="364"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64"/>
    <w:bookmarkEnd w:id="365"/>
    <w:bookmarkStart w:id="368" w:name="klasse-sup"/>
    <w:p>
      <w:pPr>
        <w:pStyle w:val="berschrift3"/>
      </w:pPr>
      <w:r>
        <w:t xml:space="preserve">Klasse: Sup</w:t>
      </w:r>
      <w:r>
        <w:t xml:space="preserve"> </w:t>
      </w:r>
      <w:bookmarkStart w:id="366" w:name="Sup"/>
      <w:bookmarkEnd w:id="366"/>
    </w:p>
    <w:p>
      <w:pPr>
        <w:pStyle w:val="FirstParagraph"/>
      </w:pPr>
      <w:r>
        <w:rPr>
          <w:i/>
          <w:iCs/>
        </w:rPr>
        <w:t xml:space="preserve">Hochgestelltes Inline-Markup (akn:sup).</w:t>
      </w:r>
    </w:p>
    <w:bookmarkStart w:id="367"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67"/>
    <w:bookmarkEnd w:id="368"/>
    <w:bookmarkStart w:id="371" w:name="klasse-br"/>
    <w:p>
      <w:pPr>
        <w:pStyle w:val="berschrift3"/>
      </w:pPr>
      <w:r>
        <w:t xml:space="preserve">Klasse: Br</w:t>
      </w:r>
      <w:r>
        <w:t xml:space="preserve"> </w:t>
      </w:r>
      <w:bookmarkStart w:id="369" w:name="Br"/>
      <w:bookmarkEnd w:id="369"/>
    </w:p>
    <w:p>
      <w:pPr>
        <w:pStyle w:val="FirstParagraph"/>
      </w:pPr>
      <w:r>
        <w:rPr>
          <w:i/>
          <w:iCs/>
        </w:rPr>
        <w:t xml:space="preserve">Ein Zeilenumbruch (akn:br). In der (derzeit deaktivierten) Regel FLX-TXT-001 ist br auf Überschriften-Elemente beschränkt.</w:t>
      </w:r>
    </w:p>
    <w:bookmarkStart w:id="370"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70"/>
    <w:bookmarkEnd w:id="371"/>
    <w:bookmarkStart w:id="374" w:name="typ-xmlcontent"/>
    <w:p>
      <w:pPr>
        <w:pStyle w:val="berschrift2"/>
      </w:pPr>
      <w:r>
        <w:t xml:space="preserve">Typ: XmlContent</w:t>
      </w:r>
      <w:r>
        <w:t xml:space="preserve"> </w:t>
      </w:r>
      <w:bookmarkStart w:id="372" w:name="XmlContent"/>
      <w:bookmarkEnd w:id="372"/>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128">
        <w:r>
          <w:rPr>
            <w:rStyle w:val="Hyperlink"/>
          </w:rPr>
          <w:t xml:space="preserve">xsd:string</w:t>
        </w:r>
      </w:hyperlink>
    </w:p>
    <w:bookmarkStart w:id="373"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8">
              <w:r>
                <w:rPr>
                  <w:rStyle w:val="Hyperlink"/>
                </w:rPr>
                <w:t xml:space="preserve">xsd:string</w:t>
              </w:r>
            </w:hyperlink>
          </w:p>
        </w:tc>
      </w:tr>
    </w:tbl>
    <w:bookmarkEnd w:id="373"/>
    <w:p>
      <w:r>
        <w:br w:type="page"/>
      </w:r>
    </w:p>
    <w:bookmarkEnd w:id="374"/>
    <w:bookmarkEnd w:id="375"/>
    <w:bookmarkStart w:id="434"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382" w:name="klasse-actmeta"/>
    <w:p>
      <w:pPr>
        <w:pStyle w:val="berschrift3"/>
      </w:pPr>
      <w:r>
        <w:t xml:space="preserve">Klasse: ActMeta</w:t>
      </w:r>
      <w:r>
        <w:t xml:space="preserve"> </w:t>
      </w:r>
      <w:bookmarkStart w:id="376" w:name="ActMeta"/>
      <w:bookmarkEnd w:id="376"/>
    </w:p>
    <w:p>
      <w:pPr>
        <w:pStyle w:val="FirstParagraph"/>
      </w:pPr>
      <w:r>
        <w:rPr>
          <w:i/>
          <w:iCs/>
        </w:rPr>
        <w:t xml:space="preserve">Metadaten-Abschnitt des Erlasses (akn:meta). Enthält die FRBR-Identifikation (Work-, Expression-, Manifestations-Ebene) sowie benannte Referenz-Definitionen.</w:t>
      </w:r>
    </w:p>
    <w:bookmarkStart w:id="377"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377"/>
    <w:bookmarkStart w:id="378" w:name="verwendungen-3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r>
        <w:tc>
          <w:tcPr/>
          <w:p>
            <w:pPr>
              <w:pStyle w:val="Compact"/>
            </w:pPr>
            <w:hyperlink w:anchor="Doc">
              <w:r>
                <w:rPr>
                  <w:rStyle w:val="Hyperlink"/>
                </w:rPr>
                <w:t xml:space="preserve">Doc</w:t>
              </w:r>
            </w:hyperlink>
          </w:p>
        </w:tc>
        <w:tc>
          <w:tcPr/>
          <w:p>
            <w:pPr>
              <w:pStyle w:val="Compact"/>
            </w:pPr>
            <w:r>
              <w:t xml:space="preserve">meta</w:t>
            </w:r>
          </w:p>
        </w:tc>
        <w:tc>
          <w:tcPr/>
          <w:p>
            <w:pPr>
              <w:pStyle w:val="Compact"/>
            </w:pPr>
            <w:r>
              <w:t xml:space="preserve">range</w:t>
            </w:r>
          </w:p>
        </w:tc>
        <w:tc>
          <w:tcPr/>
          <w:p>
            <w:pPr>
              <w:pStyle w:val="Compact"/>
            </w:pPr>
            <w:hyperlink w:anchor="ActMeta">
              <w:r>
                <w:rPr>
                  <w:rStyle w:val="Hyperlink"/>
                </w:rPr>
                <w:t xml:space="preserve">ActMeta</w:t>
              </w:r>
            </w:hyperlink>
          </w:p>
        </w:tc>
      </w:tr>
    </w:tbl>
    <w:bookmarkEnd w:id="378"/>
    <w:bookmarkStart w:id="381" w:name="beispiele-15"/>
    <w:p>
      <w:pPr>
        <w:pStyle w:val="berschrift4"/>
      </w:pPr>
      <w:r>
        <w:t xml:space="preserve">Beispiele</w:t>
      </w:r>
    </w:p>
    <w:bookmarkStart w:id="379" w:name="beispiel-actmeta-bgoe-1-1"/>
    <w:p>
      <w:pPr>
        <w:pStyle w:val="berschrift5"/>
      </w:pPr>
      <w:r>
        <w:t xml:space="preserve">Beispiel ActMeta: bgoe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79"/>
    <w:bookmarkStart w:id="380" w:name="beispiel-actmeta-sr101-1-1"/>
    <w:p>
      <w:pPr>
        <w:pStyle w:val="berschrift5"/>
      </w:pPr>
      <w:r>
        <w:t xml:space="preserve">Beispiel ActMeta: sr101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80"/>
    <w:bookmarkEnd w:id="381"/>
    <w:bookmarkEnd w:id="382"/>
    <w:bookmarkStart w:id="412"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389" w:name="klasse-references"/>
    <w:p>
      <w:pPr>
        <w:pStyle w:val="berschrift3"/>
      </w:pPr>
      <w:r>
        <w:t xml:space="preserve">Klasse: References</w:t>
      </w:r>
      <w:r>
        <w:t xml:space="preserve"> </w:t>
      </w:r>
      <w:bookmarkStart w:id="383" w:name="References"/>
      <w:bookmarkEnd w:id="383"/>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384"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384"/>
    <w:bookmarkStart w:id="385"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385"/>
    <w:bookmarkStart w:id="388" w:name="beispiele-16"/>
    <w:p>
      <w:pPr>
        <w:pStyle w:val="berschrift4"/>
      </w:pPr>
      <w:r>
        <w:t xml:space="preserve">Beispiele</w:t>
      </w:r>
    </w:p>
    <w:bookmarkStart w:id="386" w:name="beispiel-references-bgoe-1-1"/>
    <w:p>
      <w:pPr>
        <w:pStyle w:val="berschrift5"/>
      </w:pPr>
      <w:r>
        <w:t xml:space="preserve">Beispiel References: bgoe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86"/>
    <w:bookmarkStart w:id="387" w:name="beispiel-references-sr101-1-1"/>
    <w:p>
      <w:pPr>
        <w:pStyle w:val="berschrift5"/>
      </w:pPr>
      <w:r>
        <w:t xml:space="preserve">Beispiel References: sr101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87"/>
    <w:bookmarkEnd w:id="388"/>
    <w:bookmarkEnd w:id="389"/>
    <w:bookmarkStart w:id="395" w:name="klasse-tlcorganization"/>
    <w:p>
      <w:pPr>
        <w:pStyle w:val="berschrift3"/>
      </w:pPr>
      <w:r>
        <w:t xml:space="preserve">Klasse: TLCOrganization</w:t>
      </w:r>
      <w:r>
        <w:t xml:space="preserve"> </w:t>
      </w:r>
      <w:bookmarkStart w:id="390" w:name="TLCOrganization"/>
      <w:bookmarkEnd w:id="390"/>
    </w:p>
    <w:p>
      <w:pPr>
        <w:pStyle w:val="FirstParagraph"/>
      </w:pPr>
      <w:r>
        <w:rPr>
          <w:i/>
          <w:iCs/>
        </w:rPr>
        <w:t xml:space="preserve">Eine benannte Organisation als Referenz im Dokument (akn:TLCOrganization). Beispiel: die Bundeskanzlei (ch.bk).</w:t>
      </w:r>
    </w:p>
    <w:bookmarkStart w:id="391" w:name="attribute-5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91"/>
    <w:bookmarkStart w:id="392"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392"/>
    <w:bookmarkStart w:id="394" w:name="beispiele-17"/>
    <w:p>
      <w:pPr>
        <w:pStyle w:val="berschrift4"/>
      </w:pPr>
      <w:r>
        <w:t xml:space="preserve">Beispiele</w:t>
      </w:r>
    </w:p>
    <w:bookmarkStart w:id="393" w:name="X32dcc3b1d19b73d9a31a211d1e04e02190b73a6"/>
    <w:p>
      <w:pPr>
        <w:pStyle w:val="berschrift5"/>
      </w:pPr>
      <w:r>
        <w:t xml:space="preserve">Beispiel TLCOrganization: Deklaration der publizierenden Stelle</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p>
    <w:bookmarkEnd w:id="393"/>
    <w:bookmarkEnd w:id="394"/>
    <w:bookmarkEnd w:id="395"/>
    <w:bookmarkStart w:id="403" w:name="klasse-tlcrole"/>
    <w:p>
      <w:pPr>
        <w:pStyle w:val="berschrift3"/>
      </w:pPr>
      <w:r>
        <w:t xml:space="preserve">Klasse: TLCRole</w:t>
      </w:r>
      <w:r>
        <w:t xml:space="preserve"> </w:t>
      </w:r>
      <w:bookmarkStart w:id="396" w:name="TLCRole"/>
      <w:bookmarkEnd w:id="396"/>
    </w:p>
    <w:p>
      <w:pPr>
        <w:pStyle w:val="FirstParagraph"/>
      </w:pPr>
      <w:r>
        <w:rPr>
          <w:i/>
          <w:iCs/>
        </w:rPr>
        <w:t xml:space="preserve">Eine benannte Rolle als Referenz im Dokument (akn:TLCRole). Beispiele: publisher, rightsHolder.</w:t>
      </w:r>
    </w:p>
    <w:bookmarkStart w:id="397" w:name="attribute-5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97"/>
    <w:bookmarkStart w:id="398" w:name="verwendungen-4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398"/>
    <w:bookmarkStart w:id="402" w:name="beispiele-18"/>
    <w:p>
      <w:pPr>
        <w:pStyle w:val="berschrift4"/>
      </w:pPr>
      <w:r>
        <w:t xml:space="preserve">Beispiele</w:t>
      </w:r>
    </w:p>
    <w:bookmarkStart w:id="399" w:name="beispiel-tlcrole-bgoe-1-2"/>
    <w:p>
      <w:pPr>
        <w:pStyle w:val="berschrift5"/>
      </w:pPr>
      <w:r>
        <w:t xml:space="preserve">Beispiel TLCRole: bgoe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99"/>
    <w:bookmarkStart w:id="400" w:name="Xb4c85fe1092d910d6ad07b5d51bcc11d332af45"/>
    <w:p>
      <w:pPr>
        <w:pStyle w:val="berschrift5"/>
      </w:pPr>
      <w:r>
        <w:t xml:space="preserve">Beispiel TLCRole: Role publisher as an anchor</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p>
    <w:bookmarkEnd w:id="400"/>
    <w:bookmarkStart w:id="401" w:name="beispiel-tlcrole-sr101-1-2"/>
    <w:p>
      <w:pPr>
        <w:pStyle w:val="berschrift5"/>
      </w:pPr>
      <w:r>
        <w:t xml:space="preserve">Beispiel TLCRole: sr101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401"/>
    <w:bookmarkEnd w:id="402"/>
    <w:bookmarkEnd w:id="403"/>
    <w:bookmarkStart w:id="407" w:name="klasse-tlcreference"/>
    <w:p>
      <w:pPr>
        <w:pStyle w:val="berschrift3"/>
      </w:pPr>
      <w:r>
        <w:t xml:space="preserve">Klasse: TLCReference</w:t>
      </w:r>
      <w:r>
        <w:t xml:space="preserve"> </w:t>
      </w:r>
      <w:bookmarkStart w:id="404" w:name="TLCReference"/>
      <w:bookmarkEnd w:id="404"/>
    </w:p>
    <w:p>
      <w:pPr>
        <w:pStyle w:val="FirstParagraph"/>
      </w:pPr>
      <w:r>
        <w:rPr>
          <w:i/>
          <w:iCs/>
        </w:rPr>
        <w:t xml:space="preserve">Eine generische benannte Referenz im Dokument (akn:TLCReference). Für Referenzen, die nicht TLCOrganization oder TLCRole entsprechen.</w:t>
      </w:r>
    </w:p>
    <w:bookmarkStart w:id="405" w:name="attribute-5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405"/>
    <w:bookmarkStart w:id="406"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406"/>
    <w:bookmarkEnd w:id="407"/>
    <w:bookmarkStart w:id="411" w:name="enum-fedlexroleenum"/>
    <w:p>
      <w:pPr>
        <w:pStyle w:val="berschrift3"/>
      </w:pPr>
      <w:r>
        <w:t xml:space="preserve">Enum: FedlexRoleEnum</w:t>
      </w:r>
      <w:r>
        <w:t xml:space="preserve"> </w:t>
      </w:r>
      <w:bookmarkStart w:id="408" w:name="FedlexRoleEnum"/>
      <w:bookmarkEnd w:id="408"/>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409">
        <w:r>
          <w:rPr>
            <w:rStyle w:val="Hyperlink"/>
          </w:rPr>
          <w:t xml:space="preserve">laws:FedlexRoleEnum</w:t>
        </w:r>
      </w:hyperlink>
    </w:p>
    <w:bookmarkStart w:id="410"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r>
        <w:tc>
          <w:tcPr>
            <w:shd w:val="clear" w:color="auto" w:fill="F2F2F2"/>
          </w:tcPr>
          <w:p>
            <w:pPr>
              <w:pStyle w:val="Compact"/>
            </w:pPr>
            <w:r>
              <w:t xml:space="preserve">heading</w:t>
            </w:r>
          </w:p>
        </w:tc>
        <w:tc>
          <w:tcPr>
            <w:shd w:val="clear" w:color="auto" w:fill="F2F2F2"/>
          </w:tcPr>
          <w:p>
            <w:pPr>
              <w:pStyle w:val="Compact"/>
            </w:pPr>
            <w:r>
              <w:t xml:space="preserve">Kennzeichnet einen Absatz als Überschrift; kommt an akn:p in der Präambel der Bundesverfassung vor. Ausserhalb der Reichweite von FLX-XF-003, die akn:level und akn:subheading regelt.</w:t>
            </w:r>
          </w:p>
        </w:tc>
      </w:tr>
    </w:tbl>
    <w:bookmarkEnd w:id="410"/>
    <w:bookmarkEnd w:id="411"/>
    <w:bookmarkEnd w:id="412"/>
    <w:bookmarkStart w:id="433"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416" w:name="klasse-valuetype"/>
    <w:p>
      <w:pPr>
        <w:pStyle w:val="berschrift3"/>
      </w:pPr>
      <w:r>
        <w:t xml:space="preserve">Klasse: ValueType</w:t>
      </w:r>
      <w:r>
        <w:t xml:space="preserve"> </w:t>
      </w:r>
      <w:bookmarkStart w:id="413" w:name="ValueType"/>
      <w:bookmarkEnd w:id="413"/>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414" w:name="attribute-5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414"/>
    <w:bookmarkStart w:id="415" w:name="verwendungen-4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415"/>
    <w:bookmarkEnd w:id="416"/>
    <w:bookmarkStart w:id="420" w:name="klasse-urivaluetype"/>
    <w:p>
      <w:pPr>
        <w:pStyle w:val="berschrift3"/>
      </w:pPr>
      <w:r>
        <w:t xml:space="preserve">Klasse: UriValueType</w:t>
      </w:r>
      <w:r>
        <w:t xml:space="preserve"> </w:t>
      </w:r>
      <w:bookmarkStart w:id="417" w:name="UriValueType"/>
      <w:bookmarkEnd w:id="417"/>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418" w:name="attribute-5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418"/>
    <w:bookmarkStart w:id="419" w:name="verwendungen-4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419"/>
    <w:bookmarkEnd w:id="420"/>
    <w:bookmarkStart w:id="424" w:name="klasse-languagetype"/>
    <w:p>
      <w:pPr>
        <w:pStyle w:val="berschrift3"/>
      </w:pPr>
      <w:r>
        <w:t xml:space="preserve">Klasse: LanguageType</w:t>
      </w:r>
      <w:r>
        <w:t xml:space="preserve"> </w:t>
      </w:r>
      <w:bookmarkStart w:id="421" w:name="LanguageType"/>
      <w:bookmarkEnd w:id="421"/>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422" w:name="attribute-5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422"/>
    <w:bookmarkStart w:id="423" w:name="verwendungen-4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423"/>
    <w:bookmarkEnd w:id="424"/>
    <w:bookmarkStart w:id="428" w:name="klasse-formattype"/>
    <w:p>
      <w:pPr>
        <w:pStyle w:val="berschrift3"/>
      </w:pPr>
      <w:r>
        <w:t xml:space="preserve">Klasse: FormatType</w:t>
      </w:r>
      <w:r>
        <w:t xml:space="preserve"> </w:t>
      </w:r>
      <w:bookmarkStart w:id="425" w:name="FormatType"/>
      <w:bookmarkEnd w:id="425"/>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426" w:name="attribute-6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426"/>
    <w:bookmarkStart w:id="427" w:name="verwendungen-4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427"/>
    <w:bookmarkEnd w:id="428"/>
    <w:bookmarkStart w:id="432" w:name="enum-documentlanguageenum"/>
    <w:p>
      <w:pPr>
        <w:pStyle w:val="berschrift3"/>
      </w:pPr>
      <w:r>
        <w:t xml:space="preserve">Enum: DocumentLanguageEnum</w:t>
      </w:r>
      <w:r>
        <w:t xml:space="preserve"> </w:t>
      </w:r>
      <w:bookmarkStart w:id="429" w:name="DocumentLanguageEnum"/>
      <w:bookmarkEnd w:id="429"/>
    </w:p>
    <w:p>
      <w:pPr>
        <w:pStyle w:val="FirstParagraph"/>
      </w:pPr>
      <w:r>
        <w:rPr>
          <w:i/>
          <w:iCs/>
        </w:rPr>
        <w:t xml:space="preserve">Sprachcodes für schweizerische Bundesdokumente.</w:t>
      </w:r>
    </w:p>
    <w:p>
      <w:pPr>
        <w:pStyle w:val="Textkrper"/>
      </w:pPr>
      <w:r>
        <w:t xml:space="preserve">URI:</w:t>
      </w:r>
      <w:r>
        <w:t xml:space="preserve"> </w:t>
      </w:r>
      <w:hyperlink ns1:id="rId430">
        <w:r>
          <w:rPr>
            <w:rStyle w:val="Hyperlink"/>
          </w:rPr>
          <w:t xml:space="preserve">laws:DocumentLanguageEnum</w:t>
        </w:r>
      </w:hyperlink>
    </w:p>
    <w:bookmarkStart w:id="431"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431"/>
    <w:p>
      <w:r>
        <w:br w:type="page"/>
      </w:r>
    </w:p>
    <w:bookmarkEnd w:id="432"/>
    <w:bookmarkEnd w:id="433"/>
    <w:bookmarkEnd w:id="434"/>
    <w:bookmarkStart w:id="456" w:name="anhang-a-referenzen-bibliographie"/>
    <w:p>
      <w:pPr>
        <w:pStyle w:val="berschrift1"/>
      </w:pPr>
      <w:r>
        <w:t xml:space="preserve">Anhang A – Referenzen &amp; Bibliographie</w:t>
      </w:r>
    </w:p>
    <w:bookmarkStart w:id="440"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435">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436">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437">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438">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439">
              <w:r>
                <w:rPr>
                  <w:rStyle w:val="Hyperlink"/>
                </w:rPr>
                <w:t xml:space="preserve">https://www.ech.ch/de/ech/ech-0297</w:t>
              </w:r>
            </w:hyperlink>
          </w:p>
        </w:tc>
      </w:tr>
    </w:tbl>
    <w:bookmarkEnd w:id="440"/>
    <w:bookmarkStart w:id="443"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441">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442">
              <w:r>
                <w:rPr>
                  <w:rStyle w:val="Hyperlink"/>
                </w:rPr>
                <w:t xml:space="preserve">https://www.ech.ch/de/ech/ech-0003</w:t>
              </w:r>
            </w:hyperlink>
          </w:p>
        </w:tc>
      </w:tr>
    </w:tbl>
    <w:bookmarkEnd w:id="443"/>
    <w:bookmarkStart w:id="449"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444">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445">
              <w:r>
                <w:rPr>
                  <w:rStyle w:val="Hyperlink"/>
                </w:rPr>
                <w:t xml:space="preserve">https://op.europa.eu/en/web/eu-vocabularies/eli</w:t>
              </w:r>
            </w:hyperlink>
            <w:r>
              <w:t xml:space="preserve">. Die Zuordnungen dieses Standards beziehen sich auf ELI Core 1.5, deren Ontologie unter</w:t>
            </w:r>
            <w:r>
              <w:t xml:space="preserve"> </w:t>
            </w:r>
            <w:r>
              <w:rPr>
                <w:rStyle w:val="VerbatimChar"/>
              </w:rPr>
              <w:t xml:space="preserve">misc/spec/misc/sources/ELI</w:t>
            </w:r>
            <w:r>
              <w:t xml:space="preserve"> </w:t>
            </w:r>
            <w:r>
              <w:t xml:space="preserve">liegt</w:t>
            </w:r>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446">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447">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448">
              <w:r>
                <w:rPr>
                  <w:rStyle w:val="Hyperlink"/>
                </w:rPr>
                <w:t xml:space="preserve">https://www.fedlex.admin.ch</w:t>
              </w:r>
            </w:hyperlink>
          </w:p>
        </w:tc>
      </w:tr>
    </w:tbl>
    <w:bookmarkEnd w:id="449"/>
    <w:bookmarkStart w:id="454" w:name="verwandte-arbeiten"/>
    <w:p>
      <w:pPr>
        <w:pStyle w:val="berschrift2"/>
      </w:pPr>
      <w:r>
        <w:t xml:space="preserve">Verwandte Arbeiten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Loutsaris et al. 2023</w:t>
            </w:r>
          </w:p>
        </w:tc>
        <w:tc>
          <w:tcPr>
            <w:shd w:val="clear" w:color="auto" w:fill="F2F2F2"/>
          </w:tcPr>
          <w:p>
            <w:pPr>
              <w:pStyle w:val="Compact"/>
            </w:pPr>
            <w:r>
              <w:t xml:space="preserve">Michalis Avgerinos Loutsaris, Charalampos Alexopoulos, Maria Ioanna Maratsi, Yannis Charalabidis:</w:t>
            </w:r>
            <w:r>
              <w:t xml:space="preserve"> </w:t>
            </w:r>
            <w:r>
              <w:rPr>
                <w:i/>
                <w:iCs/>
              </w:rPr>
              <w:t xml:space="preserve">Semantic Interoperability for Legal Information: Mapping the European Legislation Identifier (ELI) and Akoma Ntoso (AKN) Ontologies.</w:t>
            </w:r>
            <w:r>
              <w:t xml:space="preserve"> </w:t>
            </w:r>
            <w:r>
              <w:t xml:space="preserve">ICEGOV 2023, Belo Horizonte:</w:t>
            </w:r>
            <w:r>
              <w:t xml:space="preserve"> </w:t>
            </w:r>
            <w:hyperlink ns1:id="rId450">
              <w:r>
                <w:rPr>
                  <w:rStyle w:val="Hyperlink"/>
                </w:rPr>
                <w:t xml:space="preserve">https://doi.org/10.1145/3614321.3614327</w:t>
              </w:r>
            </w:hyperlink>
          </w:p>
        </w:tc>
      </w:tr>
      <w:tr>
        <w:tc>
          <w:tcPr/>
          <w:p>
            <w:pPr>
              <w:pStyle w:val="Compact"/>
            </w:pPr>
            <w:r>
              <w:t xml:space="preserve">AKN4EU</w:t>
            </w:r>
          </w:p>
        </w:tc>
        <w:tc>
          <w:tcPr/>
          <w:p>
            <w:pPr>
              <w:pStyle w:val="Compact"/>
            </w:pPr>
            <w:r>
              <w:t xml:space="preserve">Akoma Ntoso for the European Union, Version 4.2 — verankert ELI-URIs in AKN-Dokumenten:</w:t>
            </w:r>
            <w:r>
              <w:t xml:space="preserve"> </w:t>
            </w:r>
            <w:hyperlink ns1:id="rId451">
              <w:r>
                <w:rPr>
                  <w:rStyle w:val="Hyperlink"/>
                </w:rPr>
                <w:t xml:space="preserve">https://interoperable-europe.ec.europa.eu/collection/semic-support-centre/solution/common-structured-format-eu-legislative-documents/discover-akn4eu</w:t>
              </w:r>
            </w:hyperlink>
          </w:p>
        </w:tc>
      </w:tr>
      <w:tr>
        <w:tc>
          <w:tcPr>
            <w:shd w:val="clear" w:color="auto" w:fill="F2F2F2"/>
          </w:tcPr>
          <w:p>
            <w:pPr>
              <w:pStyle w:val="Compact"/>
            </w:pPr>
            <w:r>
              <w:t xml:space="preserve">JOLux</w:t>
            </w:r>
          </w:p>
        </w:tc>
        <w:tc>
          <w:tcPr>
            <w:shd w:val="clear" w:color="auto" w:fill="F2F2F2"/>
          </w:tcPr>
          <w:p>
            <w:pPr>
              <w:pStyle w:val="Compact"/>
            </w:pPr>
            <w:r>
              <w:t xml:space="preserve">Datenmodell des Journal officiel du Grand-Duché de Luxembourg, das die ELI-Ontologie übernimmt und erweitert; von Fedlex für seine Metadaten verwendet:</w:t>
            </w:r>
            <w:r>
              <w:t xml:space="preserve"> </w:t>
            </w:r>
            <w:hyperlink ns1:id="rId452">
              <w:r>
                <w:rPr>
                  <w:rStyle w:val="Hyperlink"/>
                </w:rPr>
                <w:t xml:space="preserve">https://data.legilux.public.lu/home/models</w:t>
              </w:r>
            </w:hyperlink>
          </w:p>
        </w:tc>
      </w:tr>
      <w:tr>
        <w:tc>
          <w:tcPr/>
          <w:p>
            <w:pPr>
              <w:pStyle w:val="Compact"/>
            </w:pPr>
            <w:r>
              <w:t xml:space="preserve">Fedlex-JOLux</w:t>
            </w:r>
          </w:p>
        </w:tc>
        <w:tc>
          <w:tcPr/>
          <w:p>
            <w:pPr>
              <w:pStyle w:val="Compact"/>
            </w:pPr>
            <w:r>
              <w:t xml:space="preserve">Dokumentation des von Fedlex verwendeten JOLux-Modells:</w:t>
            </w:r>
            <w:r>
              <w:t xml:space="preserve"> </w:t>
            </w:r>
            <w:hyperlink ns1:id="rId453">
              <w:r>
                <w:rPr>
                  <w:rStyle w:val="Hyperlink"/>
                </w:rPr>
                <w:t xml:space="preserve">https://swiss.github.io/fedlex-jolux/</w:t>
              </w:r>
            </w:hyperlink>
          </w:p>
        </w:tc>
      </w:tr>
    </w:tbl>
    <w:bookmarkEnd w:id="454"/>
    <w:bookmarkStart w:id="455"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455"/>
    <w:bookmarkEnd w:id="456"/>
    <w:bookmarkStart w:id="458"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ist für den Identifikationsblock gesetzt, und zwar auf zwei Arten. Wo die Entsprechung eins zu eins ist, trägt das Element den ELI-Begriff als eigene Identität (</w:t>
      </w:r>
      <w:r>
        <w:rPr>
          <w:rStyle w:val="VerbatimChar"/>
        </w:rPr>
        <w:t xml:space="preserve">class_uri</w:t>
      </w:r>
      <w:r>
        <w:t xml:space="preserve">,</w:t>
      </w:r>
      <w:r>
        <w:t xml:space="preserve"> </w:t>
      </w:r>
      <w:r>
        <w:rPr>
          <w:rStyle w:val="VerbatimChar"/>
        </w:rPr>
        <w:t xml:space="preserve">slot_uri</w:t>
      </w:r>
      <w:r>
        <w:t xml:space="preserve">): Die FRBR-Ebenen</w:t>
      </w:r>
      <w:r>
        <w:t xml:space="preserve"> </w:t>
      </w:r>
      <w:r>
        <w:rPr>
          <w:i/>
          <w:iCs/>
        </w:rPr>
        <w:t xml:space="preserve">sind</w:t>
      </w:r>
      <w:r>
        <w:t xml:space="preserve"> </w:t>
      </w:r>
      <w:r>
        <w:rPr>
          <w:rStyle w:val="VerbatimChar"/>
        </w:rPr>
        <w:t xml:space="preserve">eli:LegalResource</w:t>
      </w:r>
      <w:r>
        <w:t xml:space="preserve">,</w:t>
      </w:r>
      <w:r>
        <w:t xml:space="preserve"> </w:t>
      </w:r>
      <w:r>
        <w:rPr>
          <w:rStyle w:val="VerbatimChar"/>
        </w:rPr>
        <w:t xml:space="preserve">eli:LegalExpression</w:t>
      </w:r>
      <w:r>
        <w:t xml:space="preserve"> </w:t>
      </w:r>
      <w:r>
        <w:t xml:space="preserve">und</w:t>
      </w:r>
      <w:r>
        <w:t xml:space="preserve"> </w:t>
      </w:r>
      <w:r>
        <w:rPr>
          <w:rStyle w:val="VerbatimChar"/>
        </w:rPr>
        <w:t xml:space="preserve">eli:Format</w:t>
      </w:r>
      <w:r>
        <w:t xml:space="preserve">, und der RDF-Export schreibt sie unmittelbar so. Wo die Entsprechung nur nahe liegt, bleibt es bei</w:t>
      </w:r>
      <w:r>
        <w:t xml:space="preserve"> </w:t>
      </w:r>
      <w:r>
        <w:rPr>
          <w:rStyle w:val="VerbatimChar"/>
        </w:rPr>
        <w:t xml:space="preserve">closeMatch</w:t>
      </w:r>
      <w:r>
        <w:t xml:space="preserve"> </w:t>
      </w:r>
      <w:r>
        <w:t xml:space="preserve">—</w:t>
      </w:r>
      <w:r>
        <w:t xml:space="preserve"> </w:t>
      </w:r>
      <w:r>
        <w:rPr>
          <w:rStyle w:val="VerbatimChar"/>
        </w:rPr>
        <w:t xml:space="preserve">frbr_country</w:t>
      </w:r>
      <w:r>
        <w:t xml:space="preserve"> </w:t>
      </w:r>
      <w:r>
        <w:t xml:space="preserve">etwa nennt einen Ländercode, wo ELI eine Verwaltungseinheit erwartet, und</w:t>
      </w:r>
      <w:r>
        <w:t xml:space="preserve"> </w:t>
      </w:r>
      <w:r>
        <w:rPr>
          <w:rStyle w:val="VerbatimChar"/>
        </w:rPr>
        <w:t xml:space="preserve">frbr_authoritative</w:t>
      </w:r>
      <w:r>
        <w:t xml:space="preserve"> </w:t>
      </w:r>
      <w:r>
        <w:t xml:space="preserve">ist ein Wahrheitswert, wo ELI eine Werteliste führt.</w:t>
      </w:r>
    </w:p>
    <w:p>
      <w:pPr>
        <w:pStyle w:val="Textkrper"/>
      </w:pPr>
      <w:r>
        <w:t xml:space="preserve">Eine dritte Art von Zuordnung hängt weder an der Klasse noch am Slot, sondern am</w:t>
      </w:r>
      <w:r>
        <w:t xml:space="preserve"> </w:t>
      </w:r>
      <w:r>
        <w:rPr>
          <w:b/>
          <w:bCs/>
        </w:rPr>
        <w:t xml:space="preserve">Wert</w:t>
      </w:r>
      <w:r>
        <w:t xml:space="preserve">: Welche ELI-Eigenschaft ein Datum meint, entscheidet sein</w:t>
      </w:r>
      <w:r>
        <w:t xml:space="preserve"> </w:t>
      </w:r>
      <w:r>
        <w:rPr>
          <w:rStyle w:val="VerbatimChar"/>
        </w:rPr>
        <w:t xml:space="preserve">@name</w:t>
      </w:r>
      <w:r>
        <w:t xml:space="preserve">. Die zulässigen Werte tragen ihre Entsprechung deshalb selbst, und die Zuordnung stellt zwei fremde Vokabulare gegenüber —</w:t>
      </w:r>
      <w:r>
        <w:t xml:space="preserve"> </w:t>
      </w:r>
      <w:r>
        <w:rPr>
          <w:rStyle w:val="VerbatimChar"/>
        </w:rPr>
        <w:t xml:space="preserve">jolux:dateEntryInForce</w:t>
      </w:r>
      <w:r>
        <w:t xml:space="preserve"> </w:t>
      </w:r>
      <w:r>
        <w:t xml:space="preserve">gegen</w:t>
      </w:r>
      <w:r>
        <w:t xml:space="preserve"> </w:t>
      </w:r>
      <w:r>
        <w:rPr>
          <w:rStyle w:val="VerbatimChar"/>
        </w:rPr>
        <w:t xml:space="preserve">eli:first_date_entry_in_force</w:t>
      </w:r>
      <w:r>
        <w:t xml:space="preserve">. Kantonale Publikationsstellen führen eigene Bezeichnungen wie</w:t>
      </w:r>
      <w:r>
        <w:t xml:space="preserve"> </w:t>
      </w:r>
      <w:r>
        <w:rPr>
          <w:rStyle w:val="VerbatimChar"/>
        </w:rPr>
        <w:t xml:space="preserve">Beschlussdatum</w:t>
      </w:r>
      <w:r>
        <w:t xml:space="preserve">; der Slot lässt sie zu, ohne Zuordnung.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eli:LegalResource</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akn:FRBRWork</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akn:FRBRManifestation</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Components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MainBody</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frbr_authors</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eli:passed_by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akn:FRBRcountry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eli:jurisdiction</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eli:number</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akn:FRBRnumber</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akn:FRBRauthoritative</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eli:legal_value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eli:language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akn:FRBRlanguage</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eli:format</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r>
        <w:tc>
          <w:tcPr/>
          <w:p>
            <w:pPr>
              <w:pStyle w:val="Compact"/>
            </w:pPr>
            <w:r>
              <w:rPr>
                <w:rStyle w:val="VerbatimChar"/>
              </w:rPr>
              <w:t xml:space="preserve">components_ref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main_body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jolux:dateDocument</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eli:date_document</w:t>
            </w:r>
          </w:p>
        </w:tc>
      </w:tr>
      <w:tr>
        <w:tc>
          <w:tcPr>
            <w:shd w:val="clear" w:color="auto" w:fill="F2F2F2"/>
          </w:tcPr>
          <w:p>
            <w:pPr>
              <w:pStyle w:val="Compact"/>
            </w:pPr>
            <w:r>
              <w:rPr>
                <w:rStyle w:val="VerbatimChar"/>
              </w:rPr>
              <w:t xml:space="preserve">jolux:dateEntryInForce</w:t>
            </w:r>
          </w:p>
        </w:tc>
        <w:tc>
          <w:tcPr>
            <w:shd w:val="clear" w:color="auto" w:fill="F2F2F2"/>
          </w:tcPr>
          <w:p>
            <w:pPr>
              <w:pStyle w:val="Compact"/>
            </w:pPr>
            <w:r>
              <w:t xml:space="preserve">Enum</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eli:first_date_entry_in_force</w:t>
            </w:r>
          </w:p>
        </w:tc>
      </w:tr>
      <w:tr>
        <w:tc>
          <w:tcPr/>
          <w:p>
            <w:pPr>
              <w:pStyle w:val="Compact"/>
            </w:pPr>
            <w:r>
              <w:rPr>
                <w:rStyle w:val="VerbatimChar"/>
              </w:rPr>
              <w:t xml:space="preserve">jolux:dateApplicability</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eli:date_applicability</w:t>
            </w:r>
          </w:p>
        </w:tc>
      </w:tr>
    </w:tbl>
    <w:bookmarkStart w:id="457" w:name="verwandte-arbeiten-1"/>
    <w:p>
      <w:pPr>
        <w:pStyle w:val="berschrift2"/>
      </w:pPr>
      <w:r>
        <w:t xml:space="preserve">Verwandte Arbeiten</w:t>
      </w:r>
    </w:p>
    <w:p>
      <w:pPr>
        <w:pStyle w:val="FirstParagraph"/>
      </w:pPr>
      <w:r>
        <w:t xml:space="preserve">Die Zuordnung zwischen Akoma Ntoso und ELI ist nicht neu, aber sie liegt verstreut und in keiner Form vor, die sich pflegen liesse.</w:t>
      </w:r>
    </w:p>
    <w:p>
      <w:pPr>
        <w:pStyle w:val="Textkrper"/>
      </w:pPr>
      <w:r>
        <w:rPr>
          <w:b/>
          <w:bCs/>
        </w:rPr>
        <w:t xml:space="preserve">Die Ontologien wurden bereits gegenübergestellt.</w:t>
      </w:r>
      <w:r>
        <w:t xml:space="preserve"> </w:t>
      </w:r>
      <w:r>
        <w:t xml:space="preserve">Loutsaris, Alexopoulos, Maratsi und Charalabidis (Universität der Ägäis) haben 2023 an der ICEGOV die ELI- und die AKN-Ontologie aufeinander abgebildet, von Fachleuten prüfen und werkzeuggestützt validieren lassen. Die Arbeit ist akademisch und kennt kein schweizerisches Profil, beantwortet aber dieselbe Grundfrage.</w:t>
      </w:r>
    </w:p>
    <w:p>
      <w:pPr>
        <w:pStyle w:val="Textkrper"/>
      </w:pPr>
      <w:r>
        <w:rPr>
          <w:b/>
          <w:bCs/>
        </w:rPr>
        <w:t xml:space="preserve">Die EU verankert ELI in AKN.</w:t>
      </w:r>
      <w:r>
        <w:t xml:space="preserve"> </w:t>
      </w:r>
      <w:r>
        <w:t xml:space="preserve">Die AKN4EU-Leitlinien nennen ELI allein in Teil 1 an 279 Stellen: URI-Vorlagen für Rechtsakte, ELI-DL für Vorbereitungsdokumente und die Regel, dass sich mit ELI-URIs jede Untergliederung eines Dokuments referenzieren lässt. Wie ELI-URIs im AKN-Dokument stehen, ist dort also entschieden — nicht aber, welche AKN-Angabe welcher ELI-Eigenschaft entspricht.</w:t>
      </w:r>
    </w:p>
    <w:p>
      <w:pPr>
        <w:pStyle w:val="Textkrper"/>
      </w:pPr>
      <w:r>
        <w:rPr>
          <w:b/>
          <w:bCs/>
        </w:rPr>
        <w:t xml:space="preserve">Luxemburg hat ELI erweitert.</w:t>
      </w:r>
      <w:r>
        <w:t xml:space="preserve"> </w:t>
      </w:r>
      <w:r>
        <w:t xml:space="preserve">Die JOLux-Ontologie des Journal officiel übernimmt ELI und ergänzt es um das, was für die luxemburgische Publikationspraxis nötig ist. Das betrifft die Schweiz unmittelbar: Fedlex führt seine Metadaten in JOLux, und die Datumsangaben in den AKN-Dateien tragen JOLux-Bezeichnungen (</w:t>
      </w:r>
      <w:r>
        <w:rPr>
          <w:rStyle w:val="VerbatimChar"/>
        </w:rPr>
        <w:t xml:space="preserve">jolux:dateEntryInForce</w:t>
      </w:r>
      <w:r>
        <w:t xml:space="preserve">). Die Brücke von JOLux zu ELI ist damit vorgedacht.</w:t>
      </w:r>
    </w:p>
    <w:p>
      <w:pPr>
        <w:pStyle w:val="Textkrper"/>
      </w:pPr>
      <w:r>
        <w:t xml:space="preserve">Was in keiner dieser Arbeiten vorliegt, ist die maschinenlesbare Form: eine Quelle, aus der Dokument, XSD, Crosswalk und ELI-RDF zugleich entstehen und die sich mit dem Schema fortschreibt. Genau das leistet dieser Anhang — und deshalb sind die Zuordnungen hier keine Tabelle, sondern Angaben am Schemaelement.</w:t>
      </w:r>
    </w:p>
    <w:bookmarkEnd w:id="457"/>
    <w:bookmarkEnd w:id="4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44" Target="http://docs.oasis-open.org/legaldocml/akn-core/v1.0/" TargetMode="External" /><Relationship Type="http://schemas.openxmlformats.org/officeDocument/2006/relationships/hyperlink" Id="rId446" Target="http://iflastandards.info/ns/fr/frbr/frbroo/" TargetMode="External" /><Relationship Type="http://schemas.openxmlformats.org/officeDocument/2006/relationships/hyperlink" Id="rId124" Target="http://www.w3.org/2001/XMLSchema#anyURI" TargetMode="External" /><Relationship Type="http://schemas.openxmlformats.org/officeDocument/2006/relationships/hyperlink" Id="rId128"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452" Target="https://data.legilux.public.lu/home/models" TargetMode="External" /><Relationship Type="http://schemas.openxmlformats.org/officeDocument/2006/relationships/hyperlink" Id="rId450" Target="https://doi.org/10.1145/3614321.3614327"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451" Target="https://interoperable-europe.ec.europa.eu/collection/semic-support-centre/solution/common-structured-format-eu-legislative-documents/discover-akn4eu" TargetMode="External" /><Relationship Type="http://schemas.openxmlformats.org/officeDocument/2006/relationships/hyperlink" Id="rId143" Target="https://ld.ech.ch/schema/0296/laws/ActTypeEnum" TargetMode="External" /><Relationship Type="http://schemas.openxmlformats.org/officeDocument/2006/relationships/hyperlink" Id="rId329" Target="https://ld.ech.ch/schema/0296/laws/BlockNameEnum" TargetMode="External" /><Relationship Type="http://schemas.openxmlformats.org/officeDocument/2006/relationships/hyperlink" Id="rId321" Target="https://ld.ech.ch/schema/0296/laws/ContainerNameEnum" TargetMode="External" /><Relationship Type="http://schemas.openxmlformats.org/officeDocument/2006/relationships/hyperlink" Id="rId306" Target="https://ld.ech.ch/schema/0296/laws/DocNameEnum" TargetMode="External" /><Relationship Type="http://schemas.openxmlformats.org/officeDocument/2006/relationships/hyperlink" Id="rId430" Target="https://ld.ech.ch/schema/0296/laws/DocumentLanguageEnum" TargetMode="External" /><Relationship Type="http://schemas.openxmlformats.org/officeDocument/2006/relationships/hyperlink" Id="rId409" Target="https://ld.ech.ch/schema/0296/laws/FedlexRoleEnum" TargetMode="External" /><Relationship Type="http://schemas.openxmlformats.org/officeDocument/2006/relationships/hyperlink" Id="rId91" Target="https://ld.ech.ch/schema/0296/laws/FrbrDateNameEnum" TargetMode="External" /><Relationship Type="http://schemas.openxmlformats.org/officeDocument/2006/relationships/hyperlink" Id="rId445" Target="https://op.europa.eu/en/web/eu-vocabularies/eli" TargetMode="External" /><Relationship Type="http://schemas.openxmlformats.org/officeDocument/2006/relationships/hyperlink" Id="rId453" Target="https://swiss.github.io/fedlex-jolux/"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442" Target="https://www.ech.ch/de/ech/ech-0003" TargetMode="External" /><Relationship Type="http://schemas.openxmlformats.org/officeDocument/2006/relationships/hyperlink" Id="rId441" Target="https://www.ech.ch/de/ech/ech-0122"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3" TargetMode="External" /><Relationship Type="http://schemas.openxmlformats.org/officeDocument/2006/relationships/hyperlink" Id="rId437" Target="https://www.ech.ch/de/ech/ech-0294" TargetMode="External" /><Relationship Type="http://schemas.openxmlformats.org/officeDocument/2006/relationships/hyperlink" Id="rId438" Target="https://www.ech.ch/de/ech/ech-0295" TargetMode="External" /><Relationship Type="http://schemas.openxmlformats.org/officeDocument/2006/relationships/hyperlink" Id="rId439" Target="https://www.ech.ch/de/ech/ech-0297" TargetMode="External" /><Relationship Type="http://schemas.openxmlformats.org/officeDocument/2006/relationships/hyperlink" Id="rId448"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447" Target="https://www.rfc-editor.org/rfc/rfc6570" TargetMode="External" /><Relationship Type="http://schemas.openxmlformats.org/officeDocument/2006/relationships/hyperlink" Id="rId94" Target="jolux:dateApplicability" TargetMode="External" /><Relationship Type="http://schemas.openxmlformats.org/officeDocument/2006/relationships/hyperlink" Id="rId92" Target="jolux:dateDocument" TargetMode="External" /><Relationship Type="http://schemas.openxmlformats.org/officeDocument/2006/relationships/hyperlink" Id="rId93" Target="jolux:dateEntryInForce"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44" Target="http://docs.oasis-open.org/legaldocml/akn-core/v1.0/" TargetMode="External" /><Relationship Type="http://schemas.openxmlformats.org/officeDocument/2006/relationships/hyperlink" Id="rId446" Target="http://iflastandards.info/ns/fr/frbr/frbroo/" TargetMode="External" /><Relationship Type="http://schemas.openxmlformats.org/officeDocument/2006/relationships/hyperlink" Id="rId124" Target="http://www.w3.org/2001/XMLSchema#anyURI" TargetMode="External" /><Relationship Type="http://schemas.openxmlformats.org/officeDocument/2006/relationships/hyperlink" Id="rId128"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452" Target="https://data.legilux.public.lu/home/models" TargetMode="External" /><Relationship Type="http://schemas.openxmlformats.org/officeDocument/2006/relationships/hyperlink" Id="rId450" Target="https://doi.org/10.1145/3614321.3614327"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451" Target="https://interoperable-europe.ec.europa.eu/collection/semic-support-centre/solution/common-structured-format-eu-legislative-documents/discover-akn4eu" TargetMode="External" /><Relationship Type="http://schemas.openxmlformats.org/officeDocument/2006/relationships/hyperlink" Id="rId143" Target="https://ld.ech.ch/schema/0296/laws/ActTypeEnum" TargetMode="External" /><Relationship Type="http://schemas.openxmlformats.org/officeDocument/2006/relationships/hyperlink" Id="rId329" Target="https://ld.ech.ch/schema/0296/laws/BlockNameEnum" TargetMode="External" /><Relationship Type="http://schemas.openxmlformats.org/officeDocument/2006/relationships/hyperlink" Id="rId321" Target="https://ld.ech.ch/schema/0296/laws/ContainerNameEnum" TargetMode="External" /><Relationship Type="http://schemas.openxmlformats.org/officeDocument/2006/relationships/hyperlink" Id="rId306" Target="https://ld.ech.ch/schema/0296/laws/DocNameEnum" TargetMode="External" /><Relationship Type="http://schemas.openxmlformats.org/officeDocument/2006/relationships/hyperlink" Id="rId430" Target="https://ld.ech.ch/schema/0296/laws/DocumentLanguageEnum" TargetMode="External" /><Relationship Type="http://schemas.openxmlformats.org/officeDocument/2006/relationships/hyperlink" Id="rId409" Target="https://ld.ech.ch/schema/0296/laws/FedlexRoleEnum" TargetMode="External" /><Relationship Type="http://schemas.openxmlformats.org/officeDocument/2006/relationships/hyperlink" Id="rId91" Target="https://ld.ech.ch/schema/0296/laws/FrbrDateNameEnum" TargetMode="External" /><Relationship Type="http://schemas.openxmlformats.org/officeDocument/2006/relationships/hyperlink" Id="rId445" Target="https://op.europa.eu/en/web/eu-vocabularies/eli" TargetMode="External" /><Relationship Type="http://schemas.openxmlformats.org/officeDocument/2006/relationships/hyperlink" Id="rId453" Target="https://swiss.github.io/fedlex-jolux/"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442" Target="https://www.ech.ch/de/ech/ech-0003" TargetMode="External" /><Relationship Type="http://schemas.openxmlformats.org/officeDocument/2006/relationships/hyperlink" Id="rId441" Target="https://www.ech.ch/de/ech/ech-0122"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3" TargetMode="External" /><Relationship Type="http://schemas.openxmlformats.org/officeDocument/2006/relationships/hyperlink" Id="rId437" Target="https://www.ech.ch/de/ech/ech-0294" TargetMode="External" /><Relationship Type="http://schemas.openxmlformats.org/officeDocument/2006/relationships/hyperlink" Id="rId438" Target="https://www.ech.ch/de/ech/ech-0295" TargetMode="External" /><Relationship Type="http://schemas.openxmlformats.org/officeDocument/2006/relationships/hyperlink" Id="rId439" Target="https://www.ech.ch/de/ech/ech-0297" TargetMode="External" /><Relationship Type="http://schemas.openxmlformats.org/officeDocument/2006/relationships/hyperlink" Id="rId448"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447" Target="https://www.rfc-editor.org/rfc/rfc6570" TargetMode="External" /><Relationship Type="http://schemas.openxmlformats.org/officeDocument/2006/relationships/hyperlink" Id="rId94" Target="jolux:dateApplicability" TargetMode="External" /><Relationship Type="http://schemas.openxmlformats.org/officeDocument/2006/relationships/hyperlink" Id="rId92" Target="jolux:dateDocument" TargetMode="External" /><Relationship Type="http://schemas.openxmlformats.org/officeDocument/2006/relationships/hyperlink" Id="rId93" Target="jolux:dateEntryInForc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2026-08-16T01:34:09Z</dcterms:created>
  <dcterms:modified xsi:type="dcterms:W3CDTF">2026-08-16T01:34:09Z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