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la-norme-ech-0294-acteurs-politiques"/>
    <w:p>
      <w:pPr>
        <w:pStyle w:val="berschrift2"/>
      </w:pPr>
      <w:r>
        <w:t xml:space="preserve">La norme eCH-0294 – Acteurs politiques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19"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formation et circonscription électorale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ou changement de circonscription électorale).</w:t>
      </w:r>
    </w:p>
    <w:p>
      <w:pPr>
        <w:pStyle w:val="Compact"/>
        <w:numPr>
          <w:ilvl w:val="0"/>
          <w:numId w:val="1005"/>
        </w:numPr>
      </w:pPr>
      <w:r>
        <w:rPr>
          <w:b/>
          <w:bCs/>
        </w:rPr>
        <w:t xml:space="preserve">Nom d’affichage obligatoire (</w:t>
      </w:r>
      <w:r>
        <w:rPr>
          <w:rStyle w:val="VerbatimChar"/>
          <w:b/>
          <w:bCs/>
        </w:rPr>
        <w:t xml:space="preserve">label</w:t>
      </w:r>
      <w:r>
        <w:rPr>
          <w:b/>
          <w:bCs/>
        </w:rPr>
        <w:t xml:space="preserve">) en plus des noms structurés (</w:t>
      </w:r>
      <w:r>
        <w:rPr>
          <w:rStyle w:val="VerbatimChar"/>
          <w:b/>
          <w:bCs/>
        </w:rPr>
        <w:t xml:space="preserve">names</w:t>
      </w:r>
      <w:r>
        <w:rPr>
          <w:b/>
          <w:bCs/>
        </w:rPr>
        <w:t xml:space="preserve">) :</w:t>
      </w:r>
      <w:r>
        <w:t xml:space="preserve"> </w:t>
      </w:r>
      <w:r>
        <w:t xml:space="preserve">chaque personne possède un nom abrégé obligatoire, afin qu’un nom d’affichage soit toujours disponible, même en cas d’indications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complétés par l’année de naissance en cas d’homonymie.</w:t>
      </w:r>
      <w:r>
        <w:t xml:space="preserve"> </w:t>
      </w:r>
      <w:r>
        <w:rPr>
          <w:rStyle w:val="VerbatimChar"/>
        </w:rPr>
        <w:t xml:space="preserve">label_long</w:t>
      </w:r>
      <w:r>
        <w:t xml:space="preserve"> </w:t>
      </w:r>
      <w:r>
        <w:t xml:space="preserve">reprend en outre les titres académiques ; la structure de noms détaillée et typée (</w:t>
      </w:r>
      <w:r>
        <w:rPr>
          <w:rStyle w:val="VerbatimChar"/>
        </w:rPr>
        <w:t xml:space="preserve">names</w:t>
      </w:r>
      <w:r>
        <w:t xml:space="preserve">) est facultative, mais son utilisation est recommandée. Dans certains cas, l’emploi de types spécifiques, comme le nom officiel (</w:t>
      </w:r>
      <w:r>
        <w:rPr>
          <w:rStyle w:val="VerbatimChar"/>
        </w:rPr>
        <w:t xml:space="preserve">PersonOfficialName</w:t>
      </w:r>
      <w:r>
        <w:t xml:space="preserve">), constitue une exigence légale.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suivent l’harmonisation des registres de l’OFS, respectivement eCH-0011 (notamment nom officiel, nom d’origine, nom d’alliance, prénom usuel ainsi que des variantes pour les pièces d’identité étrangères). Les noms sont ainsi compatibles avec les registres officiels des personnes, et leur sémantique est claire.</w:t>
      </w:r>
    </w:p>
    <w:p>
      <w:pPr>
        <w:pStyle w:val="Compact"/>
        <w:numPr>
          <w:ilvl w:val="0"/>
          <w:numId w:val="1005"/>
        </w:numPr>
      </w:pPr>
      <w:r>
        <w:rPr>
          <w:rStyle w:val="VerbatimChar"/>
          <w:b/>
          <w:bCs/>
        </w:rPr>
        <w:t xml:space="preserve">birth_year</w:t>
      </w:r>
      <w:r>
        <w:rPr>
          <w:b/>
          <w:bCs/>
        </w:rPr>
        <w:t xml:space="preserve"> </w:t>
      </w:r>
      <w:r>
        <w:rPr>
          <w:b/>
          <w:bCs/>
        </w:rPr>
        <w:t xml:space="preserve">comme alternative économe en données à</w:t>
      </w:r>
      <w:r>
        <w:rPr>
          <w:b/>
          <w:bCs/>
        </w:rPr>
        <w:t xml:space="preserve"> </w:t>
      </w:r>
      <w:r>
        <w:rPr>
          <w:rStyle w:val="VerbatimChar"/>
          <w:b/>
          <w:bCs/>
        </w:rPr>
        <w:t xml:space="preserve">birth_date</w:t>
      </w:r>
      <w:r>
        <w:rPr>
          <w:b/>
          <w:bCs/>
        </w:rPr>
        <w:t xml:space="preserve"> </w:t>
      </w:r>
      <w:r>
        <w:rPr>
          <w:b/>
          <w:bCs/>
        </w:rPr>
        <w:t xml:space="preserve">:</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ne relève pas du mandat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1"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7"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
    <w:bookmarkStart w:id="28"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exemples"/>
    <w:p>
      <w:pPr>
        <w:pStyle w:val="berschrift3"/>
      </w:pPr>
      <w:r>
        <w:t xml:space="preserve">Exemples</w:t>
      </w:r>
    </w:p>
    <w:bookmarkStart w:id="29" w:name="X20c009fb4f94a978d83b87e74f3c7963313540f"/>
    <w:p>
      <w:pPr>
        <w:pStyle w:val="berschrift4"/>
      </w:pPr>
      <w:r>
        <w:t xml:space="preserve">Exemple :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End w:id="30"/>
    <w:bookmarkEnd w:id="31"/>
    <w:bookmarkStart w:id="34"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2"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2"/>
    <w:bookmarkStart w:id="33"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Catégories de types de noms selon eCH-0011 (personNameData) et https://dam-api.bfs.admin.ch/hub/api/dam/assets/24565576/master,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Selon le catalogue officiel des caractères (n° 211) pour l’harmonisation des registres : 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Selon le catalogue officiel des caractères (n° 212) pour l’harmonisation des registres : 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Selon le catalogue officiel des caractères (n° 213) pour l’harmonisation des registres : 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Selon le catalogue officiel des caractères (n° 214) pour l’harmonisation des registres : 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Selon le catalogue officiel des caractères (n° 215) pour l’harmonisation des registres : nom (p. ex. nom de scène, nom religieux) qui, sur la base d’une demande acceptée, peut être porté par la personne. Le nom d’alias peut se composer d’une ou de plusieurs parties (p. ex. également le prénom d’alias et le nom de famille d’alias).</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Selon le catalogue officiel des caractères (n° 216) pour l’harmonisation des registres : autres noms officiels selon les documents d’état civil suisses (art. 24, al. 3 OEC) ou selon des documents étrangers, qui ne sont ni des noms de famille ni des prénoms.</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Selon le catalogue officiel des caractères (n° 217) pour l’harmonisation des registres : pour les ressortissants étrangers qui ne disposent pas de documents officiels (principalement dans le domaine de l’asile).</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49"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49"/>
    <w:bookmarkStart w:id="50"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2"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2"/>
    <w:bookmarkStart w:id="53"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55"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diverse.</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5"/>
    <w:bookmarkStart w:id="56"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diverse</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valeurs-admissibles-1"/>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 / non binaire.</w:t>
            </w:r>
          </w:p>
        </w:tc>
      </w:tr>
      <w:tr>
        <w:tc>
          <w:tcPr/>
          <w:p>
            <w:pPr>
              <w:pStyle w:val="Compact"/>
            </w:pPr>
          </w:p>
        </w:tc>
        <w:tc>
          <w:tcPr/>
          <w:p>
            <w:pPr>
              <w:pStyle w:val="Compact"/>
            </w:pPr>
          </w:p>
        </w:tc>
      </w:tr>
    </w:tbl>
    <w:bookmarkEnd w:id="59"/>
    <w:bookmarkEnd w:id="60"/>
    <w:bookmarkStart w:id="66" w:name="classe-occupation"/>
    <w:p>
      <w:pPr>
        <w:pStyle w:val="berschrift2"/>
      </w:pPr>
      <w:r>
        <w:t xml:space="preserve">Classe: Occupation</w:t>
      </w:r>
    </w:p>
    <w:p>
      <w:pPr>
        <w:pStyle w:val="FirstParagraph"/>
      </w:pPr>
      <w:r>
        <w:rPr>
          <w:i/>
          <w:iCs/>
        </w:rPr>
        <w:t xml:space="preserve">Métier ou profession d’une personne indiquant un libellé, un code ISCO-19, si le poste est rémunéré, ainsi que la validité temporelle.</w:t>
      </w:r>
    </w:p>
    <w:p>
      <w:pPr>
        <w:pStyle w:val="Textkrper"/>
      </w:pPr>
      <w:r>
        <w:t xml:space="preserve">__</w:t>
      </w:r>
    </w:p>
    <w:bookmarkStart w:id="62"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le poste est rémunéré.</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1"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exemples-1"/>
    <w:p>
      <w:pPr>
        <w:pStyle w:val="berschrift3"/>
      </w:pPr>
      <w:r>
        <w:t xml:space="preserve">Exemples</w:t>
      </w:r>
    </w:p>
    <w:bookmarkStart w:id="64" w:name="Xa43506a9ac253a85272197efb3a0bd768953cf0"/>
    <w:p>
      <w:pPr>
        <w:pStyle w:val="berschrift4"/>
      </w:pPr>
      <w:r>
        <w:t xml:space="preserve">Exemple :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6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r>
        <w:tc>
          <w:tcPr/>
          <w:p>
            <w:pPr>
              <w:pStyle w:val="Compact"/>
            </w:pPr>
          </w:p>
        </w:tc>
        <w:tc>
          <w:tcPr/>
          <w:p>
            <w:pPr>
              <w:pStyle w:val="Compact"/>
            </w:pPr>
          </w:p>
        </w:tc>
      </w:tr>
    </w:tbl>
    <w:bookmarkEnd w:id="114"/>
    <w:bookmarkEnd w:id="115"/>
    <w:bookmarkStart w:id="118"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16"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116"/>
    <w:bookmarkStart w:id="117"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p>
      <w:r>
        <w:br w:type="page"/>
      </w:r>
    </w:p>
    <w:bookmarkEnd w:id="118"/>
    <w:bookmarkEnd w:id="119"/>
    <w:bookmarkStart w:id="150"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22"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0"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Site web fournissant de plus amples informations.</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0"/>
    <w:bookmarkStart w:id="121"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1"/>
    <w:bookmarkEnd w:id="122"/>
    <w:bookmarkStart w:id="125"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23"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23"/>
    <w:bookmarkStart w:id="124"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26">
        <w:r>
          <w:rPr>
            <w:rStyle w:val="Hyperlink"/>
          </w:rPr>
          <w:t xml:space="preserve">act:GroupTypeEnum</w:t>
        </w:r>
      </w:hyperlink>
    </w:p>
    <w:bookmarkStart w:id="148"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27">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28">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29">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30">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31">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(permanente ou ad hoc),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32">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Groupe parlementaire.</w:t>
            </w:r>
          </w:p>
        </w:tc>
      </w:tr>
      <w:tr>
        <w:tc>
          <w:tcPr/>
          <w:p>
            <w:pPr>
              <w:pStyle w:val="Compact"/>
            </w:pPr>
          </w:p>
        </w:tc>
        <w:tc>
          <w:tcPr/>
          <w:p>
            <w:pPr>
              <w:pStyle w:val="Compact"/>
            </w:pPr>
            <w:hyperlink ns1:id="rId133">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Bureau du parlement.</w:t>
            </w:r>
          </w:p>
        </w:tc>
      </w:tr>
      <w:tr>
        <w:tc>
          <w:tcPr/>
          <w:p>
            <w:pPr>
              <w:pStyle w:val="Compact"/>
            </w:pPr>
          </w:p>
        </w:tc>
        <w:tc>
          <w:tcPr/>
          <w:p>
            <w:pPr>
              <w:pStyle w:val="Compact"/>
            </w:pPr>
            <w:hyperlink ns1:id="rId134">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Présidence du parlement.</w:t>
            </w:r>
          </w:p>
        </w:tc>
      </w:tr>
      <w:tr>
        <w:tc>
          <w:tcPr/>
          <w:p>
            <w:pPr>
              <w:pStyle w:val="Compact"/>
            </w:pPr>
          </w:p>
        </w:tc>
        <w:tc>
          <w:tcPr/>
          <w:p>
            <w:pPr>
              <w:pStyle w:val="Compact"/>
            </w:pPr>
            <w:hyperlink ns1:id="rId135">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36">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3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38">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39">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4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41">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Services du parlement.</w:t>
            </w:r>
          </w:p>
        </w:tc>
      </w:tr>
      <w:tr>
        <w:tc>
          <w:tcPr/>
          <w:p>
            <w:pPr>
              <w:pStyle w:val="Compact"/>
            </w:pPr>
          </w:p>
        </w:tc>
        <w:tc>
          <w:tcPr/>
          <w:p>
            <w:pPr>
              <w:pStyle w:val="Compact"/>
            </w:pPr>
            <w:hyperlink ns1:id="rId142">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4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4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4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4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47">
              <w:r>
                <w:rPr>
                  <w:rStyle w:val="Hyperlink"/>
                </w:rPr>
                <w:t xml:space="preserve">act:enum/group_type/other</w:t>
              </w:r>
            </w:hyperlink>
          </w:p>
        </w:tc>
      </w:tr>
    </w:tbl>
    <w:bookmarkEnd w:id="148"/>
    <w:p>
      <w:r>
        <w:br w:type="page"/>
      </w:r>
    </w:p>
    <w:bookmarkEnd w:id="149"/>
    <w:bookmarkEnd w:id="150"/>
    <w:bookmarkStart w:id="162"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bookmarkStart w:id="153"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51"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51"/>
    <w:bookmarkStart w:id="152"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2"/>
    <w:bookmarkEnd w:id="153"/>
    <w:bookmarkStart w:id="158"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55"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w:t>
            </w:r>
            <w:r>
              <w:t xml:space="preserve"> </w:t>
            </w:r>
            <w:r>
              <w:rPr>
                <w:rStyle w:val="VerbatimChar"/>
              </w:rPr>
              <w:t xml:space="preserve">role_type_enum</w:t>
            </w:r>
            <w:r>
              <w:t xml:space="preserve"> </w:t>
            </w:r>
            <w:r>
              <w:t xml:space="preserve">est réglé sur « other ».</w:t>
            </w:r>
          </w:p>
        </w:tc>
      </w:tr>
    </w:tbl>
    <w:bookmarkStart w:id="154"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4"/>
    <w:bookmarkEnd w:id="155"/>
    <w:bookmarkStart w:id="157"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6"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56"/>
    <w:bookmarkEnd w:id="157"/>
    <w:bookmarkEnd w:id="158"/>
    <w:bookmarkStart w:id="161"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59">
        <w:r>
          <w:rPr>
            <w:rStyle w:val="Hyperlink"/>
          </w:rPr>
          <w:t xml:space="preserve">act:RoleEnum</w:t>
        </w:r>
      </w:hyperlink>
    </w:p>
    <w:bookmarkStart w:id="160"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Président ou président du groupe.</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Rôle de suppléant/vice (stellvertreter).</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Autre rôle ; utiliser role_label pour un libellé descriptif.</w:t>
            </w:r>
          </w:p>
        </w:tc>
      </w:tr>
      <w:tr>
        <w:tc>
          <w:tcPr/>
          <w:p>
            <w:pPr>
              <w:pStyle w:val="Compact"/>
            </w:pPr>
          </w:p>
        </w:tc>
        <w:tc>
          <w:tcPr/>
          <w:p>
            <w:pPr>
              <w:pStyle w:val="Compact"/>
            </w:pPr>
          </w:p>
        </w:tc>
      </w:tr>
    </w:tbl>
    <w:bookmarkEnd w:id="160"/>
    <w:p>
      <w:r>
        <w:br w:type="page"/>
      </w:r>
    </w:p>
    <w:bookmarkEnd w:id="161"/>
    <w:bookmarkEnd w:id="162"/>
    <w:bookmarkStart w:id="227"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63">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179"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65"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le poste est rémunéré.</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64"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4"/>
    <w:bookmarkEnd w:id="165"/>
    <w:bookmarkStart w:id="166"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6"/>
    <w:bookmarkStart w:id="178" w:name="exemples-2"/>
    <w:p>
      <w:pPr>
        <w:pStyle w:val="berschrift3"/>
      </w:pPr>
      <w:r>
        <w:t xml:space="preserve">Exemples</w:t>
      </w:r>
    </w:p>
    <w:bookmarkStart w:id="167" w:name="X6f8df45c9392e7d8c2cc611b7a5a0a5c295082c"/>
    <w:p>
      <w:pPr>
        <w:pStyle w:val="berschrift4"/>
      </w:pPr>
      <w:r>
        <w:t xml:space="preserve">Exemple :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7"/>
    <w:bookmarkStart w:id="168" w:name="X294879ee57dc755c49a22f9e5803f3be70e7bd5"/>
    <w:p>
      <w:pPr>
        <w:pStyle w:val="berschrift4"/>
      </w:pPr>
      <w:r>
        <w:t xml:space="preserve">Exemple :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3a114af4c33489a0c13c4f76e77277e721b306b"/>
    <w:p>
      <w:pPr>
        <w:pStyle w:val="berschrift4"/>
      </w:pPr>
      <w:r>
        <w:t xml:space="preserve">Exemple :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8388fddb59e3841f8eb932eb991d5b9d2fccc2e"/>
    <w:p>
      <w:pPr>
        <w:pStyle w:val="berschrift4"/>
      </w:pPr>
      <w:r>
        <w:t xml:space="preserve">Exemple :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c3a25f1caa08cb156aabd4253ed5ef369c18d50"/>
    <w:p>
      <w:pPr>
        <w:pStyle w:val="berschrift4"/>
      </w:pPr>
      <w:r>
        <w:t xml:space="preserve">Exemple :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60d031cd34249886c7d9f1b2e67c68e5118fb82"/>
    <w:p>
      <w:pPr>
        <w:pStyle w:val="berschrift4"/>
      </w:pPr>
      <w:r>
        <w:t xml:space="preserve">Exemple :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aa264fc7637f27ecf757efc1ab52a576e34ce7a"/>
    <w:p>
      <w:pPr>
        <w:pStyle w:val="berschrift4"/>
      </w:pPr>
      <w:r>
        <w:t xml:space="preserve">Exemple :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85b61049f6da165f553740229e5c3c950105045"/>
    <w:p>
      <w:pPr>
        <w:pStyle w:val="berschrift4"/>
      </w:pPr>
      <w:r>
        <w:t xml:space="preserve">Exemple :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00b26461af04297e3c9834364e0bd20b838dab6"/>
    <w:p>
      <w:pPr>
        <w:pStyle w:val="berschrift4"/>
      </w:pPr>
      <w:r>
        <w:t xml:space="preserve">Exemple :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e8f745ddcaa03013aef9fe47d41eba446f5d883"/>
    <w:p>
      <w:pPr>
        <w:pStyle w:val="berschrift4"/>
      </w:pPr>
      <w:r>
        <w:t xml:space="preserve">Exemple :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a438aedbc4b401d1df695fa555025968f317c54"/>
    <w:p>
      <w:pPr>
        <w:pStyle w:val="berschrift4"/>
      </w:pPr>
      <w:r>
        <w:t xml:space="preserve">Exemple :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End w:id="178"/>
    <w:bookmarkEnd w:id="179"/>
    <w:bookmarkStart w:id="185"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80">
        <w:r>
          <w:rPr>
            <w:rStyle w:val="Hyperlink"/>
          </w:rPr>
          <w:t xml:space="preserve">act:InterestTypeEnum</w:t>
        </w:r>
      </w:hyperlink>
    </w:p>
    <w:bookmarkStart w:id="184"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181">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182">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183">
              <w:r>
                <w:rPr>
                  <w:rStyle w:val="Hyperlink"/>
                </w:rPr>
                <w:t xml:space="preserve">act:enum/interest_type/association</w:t>
              </w:r>
            </w:hyperlink>
          </w:p>
        </w:tc>
      </w:tr>
    </w:tbl>
    <w:bookmarkEnd w:id="184"/>
    <w:bookmarkEnd w:id="185"/>
    <w:bookmarkStart w:id="226"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186">
        <w:r>
          <w:rPr>
            <w:rStyle w:val="Hyperlink"/>
          </w:rPr>
          <w:t xml:space="preserve">act:LegalFormEnum</w:t>
        </w:r>
      </w:hyperlink>
    </w:p>
    <w:bookmarkStart w:id="225"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187">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188">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189">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190">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191">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192">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193">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194">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195">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196">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197">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198">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199">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00">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01">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02">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03">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04">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05">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06">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07">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08">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09">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10">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11">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12">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13">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14">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15">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16">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17">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18">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19">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20">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1">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22">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23">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24">
              <w:r>
                <w:rPr>
                  <w:rStyle w:val="Hyperlink"/>
                </w:rPr>
                <w:t xml:space="preserve">https://register.ld.admin.ch/i14y/concept/legalForm/0571</w:t>
              </w:r>
            </w:hyperlink>
          </w:p>
        </w:tc>
      </w:tr>
    </w:tbl>
    <w:bookmarkEnd w:id="225"/>
    <w:p>
      <w:r>
        <w:br w:type="page"/>
      </w:r>
    </w:p>
    <w:bookmarkEnd w:id="226"/>
    <w:bookmarkEnd w:id="227"/>
    <w:bookmarkStart w:id="248" w:name="éléments-partagés"/>
    <w:p>
      <w:pPr>
        <w:pStyle w:val="berschrift1"/>
      </w:pPr>
      <w:r>
        <w:t xml:space="preserve">Éléments partagés</w:t>
      </w:r>
    </w:p>
    <w:bookmarkStart w:id="228"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28"/>
    <w:bookmarkStart w:id="231"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29"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29"/>
    <w:bookmarkStart w:id="230"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0"/>
    <w:bookmarkEnd w:id="231"/>
    <w:bookmarkStart w:id="234"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32"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32"/>
    <w:bookmarkStart w:id="233"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3"/>
    <w:bookmarkEnd w:id="234"/>
    <w:bookmarkStart w:id="235" w:name="classes-utilisées-à-plusieurs-reprises"/>
    <w:p>
      <w:pPr>
        <w:pStyle w:val="berschrift2"/>
      </w:pPr>
      <w:r>
        <w:t xml:space="preserve">Classes utilisées à plusieurs reprises</w:t>
      </w:r>
    </w:p>
    <w:bookmarkEnd w:id="235"/>
    <w:bookmarkStart w:id="241"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37"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bl>
    <w:bookmarkStart w:id="236"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6"/>
    <w:bookmarkEnd w:id="237"/>
    <w:bookmarkStart w:id="238"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38"/>
    <w:bookmarkStart w:id="240" w:name="exemples-3"/>
    <w:p>
      <w:pPr>
        <w:pStyle w:val="berschrift3"/>
      </w:pPr>
      <w:r>
        <w:t xml:space="preserve">Exemples</w:t>
      </w:r>
    </w:p>
    <w:bookmarkStart w:id="239" w:name="Xf088df868a53579391affb7d364826afc83f909"/>
    <w:p>
      <w:pPr>
        <w:pStyle w:val="berschrift4"/>
      </w:pPr>
      <w:r>
        <w:t xml:space="preserve">Exemple :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42">
        <w:r>
          <w:rPr>
            <w:rStyle w:val="Hyperlink"/>
          </w:rPr>
          <w:t xml:space="preserve">act:AddressTypeEnum</w:t>
        </w:r>
      </w:hyperlink>
    </w:p>
    <w:bookmarkStart w:id="243"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Adresse professionnelle.</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r>
        <w:tc>
          <w:tcPr/>
          <w:p>
            <w:pPr>
              <w:pStyle w:val="Compact"/>
            </w:pPr>
          </w:p>
        </w:tc>
        <w:tc>
          <w:tcPr/>
          <w:p>
            <w:pPr>
              <w:pStyle w:val="Compact"/>
            </w:pPr>
          </w:p>
        </w:tc>
      </w:tr>
    </w:tbl>
    <w:bookmarkEnd w:id="243"/>
    <w:bookmarkEnd w:id="244"/>
    <w:bookmarkStart w:id="247"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45"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bl>
    <w:bookmarkEnd w:id="245"/>
    <w:bookmarkStart w:id="246"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6"/>
    <w:bookmarkEnd w:id="247"/>
    <w:bookmarkEnd w:id="24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2026-07-22T13:06:38Z</dcterms:created>
  <dcterms:modified xsi:type="dcterms:W3CDTF">2026-07-22T13:06:38Z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