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la-norme-ech-0294-acteurs-politiques"/>
    <w:p>
      <w:pPr>
        <w:pStyle w:val="berschrift2"/>
      </w:pPr>
      <w:r>
        <w:t xml:space="preserve">La norme eCH-0294 – Acteurs politiques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19"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1"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2"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2"/>
    <w:bookmarkStart w:id="33"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49"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49"/>
    <w:bookmarkStart w:id="50"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2"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2"/>
    <w:bookmarkStart w:id="53"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59"/>
    <w:bookmarkEnd w:id="60"/>
    <w:bookmarkStart w:id="66"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2"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1"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exemples-1"/>
    <w:p>
      <w:pPr>
        <w:pStyle w:val="berschrift3"/>
      </w:pPr>
      <w:r>
        <w:t xml:space="preserve">Exemples</w:t>
      </w:r>
    </w:p>
    <w:bookmarkStart w:id="64"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6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4"/>
    <w:bookmarkEnd w:id="115"/>
    <w:bookmarkStart w:id="11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16"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16"/>
    <w:bookmarkStart w:id="11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2"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0"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0"/>
    <w:bookmarkStart w:id="121"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3"/>
    <w:bookmarkStart w:id="124"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3"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1"/>
    <w:bookmarkStart w:id="152"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w:t>
            </w:r>
            <w:r>
              <w:t xml:space="preserve"> </w:t>
            </w:r>
            <w:r>
              <w:rPr>
                <w:rStyle w:val="VerbatimChar"/>
              </w:rPr>
              <w:t xml:space="preserve">role_type_enum</w:t>
            </w:r>
            <w:r>
              <w:t xml:space="preserve"> </w:t>
            </w:r>
            <w:r>
              <w:t xml:space="preserve">est réglé sur « other ».</w:t>
            </w:r>
          </w:p>
        </w:tc>
      </w:tr>
    </w:tbl>
    <w:bookmarkStart w:id="154"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6"/>
    <w:bookmarkEnd w:id="157"/>
    <w:bookmarkEnd w:id="158"/>
    <w:bookmarkStart w:id="161"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Rôle de suppléant/vice (stellvertreter).</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0"/>
    <w:p>
      <w:r>
        <w:br w:type="page"/>
      </w:r>
    </w:p>
    <w:bookmarkEnd w:id="161"/>
    <w:bookmarkEnd w:id="162"/>
    <w:bookmarkStart w:id="227"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3">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79"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4"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exemples-2"/>
    <w:p>
      <w:pPr>
        <w:pStyle w:val="berschrift3"/>
      </w:pPr>
      <w:r>
        <w:t xml:space="preserve">Exemples</w:t>
      </w:r>
    </w:p>
    <w:bookmarkStart w:id="167"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éléments-partagés"/>
    <w:p>
      <w:pPr>
        <w:pStyle w:val="berschrift1"/>
      </w:pPr>
      <w:r>
        <w:t xml:space="preserve">Éléments partagés</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28"/>
    <w:bookmarkStart w:id="231"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29"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29"/>
    <w:bookmarkStart w:id="230"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2"/>
    <w:bookmarkStart w:id="23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classes-utilisées-à-plusieurs-reprises"/>
    <w:p>
      <w:pPr>
        <w:pStyle w:val="berschrift2"/>
      </w:pPr>
      <w:r>
        <w:t xml:space="preserve">Classes utilisées à plusieurs reprises</w:t>
      </w:r>
    </w:p>
    <w:bookmarkEnd w:id="235"/>
    <w:bookmarkStart w:id="24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3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exemples-3"/>
    <w:p>
      <w:pPr>
        <w:pStyle w:val="berschrift3"/>
      </w:pPr>
      <w:r>
        <w:t xml:space="preserve">Exemples</w:t>
      </w:r>
    </w:p>
    <w:bookmarkStart w:id="239"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3"/>
    <w:bookmarkEnd w:id="244"/>
    <w:bookmarkStart w:id="24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5"/>
    <w:bookmarkStart w:id="24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2026-07-22T12:50:05Z</dcterms:created>
  <dcterms:modified xsi:type="dcterms:W3CDTF">2026-07-22T12:50:05Z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