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Three rules govern the types of political groups and organizations.</w:t>
      </w:r>
    </w:p>
    <w:p>
      <w:pPr>
        <w:pStyle w:val="Textkrper"/>
      </w:pPr>
      <w:r>
        <w:rPr>
          <w:i/>
          <w:iCs/>
        </w:rPr>
        <w:t xml:space="preserve">The value states the political function; the designation used locally belongs in the group’s label. Büro, Ratsleitung and Ufficio presidenziale therefore all take the value</w:t>
      </w:r>
      <w:r>
        <w:rPr>
          <w:i/>
          <w:iCs/>
        </w:rPr>
        <w:t xml:space="preserve"> </w:t>
      </w:r>
      <w:r>
        <w:rPr>
          <w:rStyle w:val="VerbatimChar"/>
          <w:i/>
          <w:iCs/>
        </w:rPr>
        <w:t xml:space="preserve">council_bureau</w:t>
      </w:r>
      <w:r>
        <w:rPr>
          <w:i/>
          <w:iCs/>
        </w:rPr>
        <w:t xml:space="preserve">.</w:t>
      </w:r>
    </w:p>
    <w:p>
      <w:pPr>
        <w:pStyle w:val="Textkrper"/>
      </w:pPr>
      <w:r>
        <w:rPr>
          <w:i/>
          <w:iCs/>
        </w:rPr>
        <w:t xml:space="preserve">Related values share a prefix. The</w:t>
      </w:r>
      <w:r>
        <w:rPr>
          <w:i/>
          <w:iCs/>
        </w:rPr>
        <w:t xml:space="preserve"> </w:t>
      </w:r>
      <w:r>
        <w:rPr>
          <w:rStyle w:val="VerbatimChar"/>
          <w:i/>
          <w:iCs/>
        </w:rPr>
        <w:t xml:space="preserve">council_</w:t>
      </w:r>
      <w:r>
        <w:rPr>
          <w:i/>
          <w:iCs/>
        </w:rPr>
        <w:t xml:space="preserve"> </w:t>
      </w:r>
      <w:r>
        <w:rPr>
          <w:i/>
          <w:iCs/>
        </w:rPr>
        <w:t xml:space="preserve">family does not distinguish by council: a state chancellery and parliamentary services are both</w:t>
      </w:r>
      <w:r>
        <w:rPr>
          <w:i/>
          <w:iCs/>
        </w:rPr>
        <w:t xml:space="preserve"> </w:t>
      </w:r>
      <w:r>
        <w:rPr>
          <w:rStyle w:val="VerbatimChar"/>
          <w:i/>
          <w:iCs/>
        </w:rPr>
        <w:t xml:space="preserve">council_secretariat</w:t>
      </w:r>
      <w:r>
        <w:rPr>
          <w:i/>
          <w:iCs/>
        </w:rPr>
        <w:t xml:space="preserve">, and the affiliation follows from</w:t>
      </w:r>
      <w:r>
        <w:rPr>
          <w:i/>
          <w:iCs/>
        </w:rPr>
        <w:t xml:space="preserve"> </w:t>
      </w:r>
      <w:r>
        <w:rPr>
          <w:rStyle w:val="VerbatimChar"/>
          <w:i/>
          <w:iCs/>
        </w:rPr>
        <w:t xml:space="preserve">parent_groups</w:t>
      </w:r>
      <w:r>
        <w:rPr>
          <w:i/>
          <w:iCs/>
        </w:rPr>
        <w:t xml:space="preserve">. It divides into</w:t>
      </w:r>
      <w:r>
        <w:rPr>
          <w:i/>
          <w:iCs/>
        </w:rPr>
        <w:t xml:space="preserve"> </w:t>
      </w:r>
      <w:r>
        <w:rPr>
          <w:rStyle w:val="VerbatimChar"/>
          <w:i/>
          <w:iCs/>
        </w:rPr>
        <w:t xml:space="preserve">council_presidency</w:t>
      </w:r>
      <w:r>
        <w:rPr>
          <w:i/>
          <w:iCs/>
        </w:rPr>
        <w:t xml:space="preserve"> </w:t>
      </w:r>
      <w:r>
        <w:rPr>
          <w:i/>
          <w:iCs/>
        </w:rPr>
        <w:t xml:space="preserve">for the presidency,</w:t>
      </w:r>
      <w:r>
        <w:rPr>
          <w:i/>
          <w:iCs/>
        </w:rPr>
        <w:t xml:space="preserve"> </w:t>
      </w:r>
      <w:r>
        <w:rPr>
          <w:rStyle w:val="VerbatimChar"/>
          <w:i/>
          <w:iCs/>
        </w:rPr>
        <w:t xml:space="preserve">council_bureau</w:t>
      </w:r>
      <w:r>
        <w:rPr>
          <w:i/>
          <w:iCs/>
        </w:rPr>
        <w:t xml:space="preserve"> </w:t>
      </w:r>
      <w:r>
        <w:rPr>
          <w:i/>
          <w:iCs/>
        </w:rPr>
        <w:t xml:space="preserve">for the managing body extended by the parliamentary group representation, and</w:t>
      </w:r>
      <w:r>
        <w:rPr>
          <w:i/>
          <w:iCs/>
        </w:rPr>
        <w:t xml:space="preserve"> </w:t>
      </w:r>
      <w:r>
        <w:rPr>
          <w:rStyle w:val="VerbatimChar"/>
          <w:i/>
          <w:iCs/>
        </w:rPr>
        <w:t xml:space="preserve">council_secretariat</w:t>
      </w:r>
      <w:r>
        <w:rPr>
          <w:i/>
          <w:iCs/>
        </w:rPr>
        <w:t xml:space="preserve"> </w:t>
      </w:r>
      <w:r>
        <w:rPr>
          <w:i/>
          <w:iCs/>
        </w:rPr>
        <w:t xml:space="preserve">for the administrative unit staffed by employees. The</w:t>
      </w:r>
      <w:r>
        <w:rPr>
          <w:i/>
          <w:iCs/>
        </w:rPr>
        <w:t xml:space="preserve"> </w:t>
      </w:r>
      <w:r>
        <w:rPr>
          <w:rStyle w:val="VerbatimChar"/>
          <w:i/>
          <w:iCs/>
        </w:rPr>
        <w:t xml:space="preserve">committee_</w:t>
      </w:r>
      <w:r>
        <w:rPr>
          <w:i/>
          <w:iCs/>
        </w:rPr>
        <w:t xml:space="preserve"> </w:t>
      </w:r>
      <w:r>
        <w:rPr>
          <w:i/>
          <w:iCs/>
        </w:rPr>
        <w:t xml:space="preserve">family follows the same pattern, with</w:t>
      </w:r>
      <w:r>
        <w:rPr>
          <w:i/>
          <w:iCs/>
        </w:rPr>
        <w:t xml:space="preserve"> </w:t>
      </w:r>
      <w:r>
        <w:rPr>
          <w:rStyle w:val="VerbatimChar"/>
          <w:i/>
          <w:iCs/>
        </w:rPr>
        <w:t xml:space="preserve">committee</w:t>
      </w:r>
      <w:r>
        <w:rPr>
          <w:i/>
          <w:iCs/>
        </w:rPr>
        <w:t xml:space="preserve"> </w:t>
      </w:r>
      <w:r>
        <w:rPr>
          <w:i/>
          <w:iCs/>
        </w:rPr>
        <w:t xml:space="preserve">as the base case.</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62">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 the customary way –</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 and may in addition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and remains so. The written address is the customary form, and it often carries more than the register knows – an organisation name, a PO box, a</w:t>
      </w:r>
      <w:r>
        <w:t xml:space="preserve"> </w:t>
      </w:r>
      <w:r>
        <w:t xml:space="preserve">“c/o”</w:t>
      </w:r>
      <w:r>
        <w:t xml:space="preserve"> </w:t>
      </w:r>
      <w:r>
        <w:t xml:space="preserve">line; nor is every address to be found in the register, a foreign one for instance. In the example of the Fédération romande des consommateurs the EGAID denotes the physical address at Rue de Genève 17 in 1003 Lausanne, while the written address states PO box 585 with its own postal code 1001. Where the EGAID is known it is worth stating, being the more stable of the two: street names change, municipalities merge, postal codes are recut, yet the EGAID remains and can be joined with the Register of Buildings and Dwellings as well as with geodata.</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p>
      <w:pPr>
        <w:pStyle w:val="Textkrper"/>
      </w:pPr>
      <w:r>
        <w:t xml:space="preserve">Not every address can be found in the register, a foreign address for instance.</w:t>
      </w:r>
      <w:r>
        <w:t xml:space="preserve"> </w:t>
      </w:r>
      <w:r>
        <w:rPr>
          <w:rStyle w:val="VerbatimChar"/>
        </w:rPr>
        <w:t xml:space="preserve">address_uri</w:t>
      </w:r>
      <w:r>
        <w:t xml:space="preserve"> </w:t>
      </w:r>
      <w:r>
        <w:t xml:space="preserve">is therefore optional; where it is known, it should be set.</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62" Target="act:enum/group_type/control_bod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2026-08-08T18:44:38Z</dcterms:created>
  <dcterms:modified xsi:type="dcterms:W3CDTF">2026-08-08T18:44:38Z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