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78"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 la session renvoie à sa législature, la séance à sa session.</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bulletin et les annexes (le procès-verbal, en revanche, via</w:t>
      </w:r>
      <w:r>
        <w:t xml:space="preserve"> </w:t>
      </w:r>
      <w:r>
        <w:rPr>
          <w:rStyle w:val="VerbatimChar"/>
        </w:rPr>
        <w:t xml:space="preserve">has_protocol</w:t>
      </w:r>
      <w:r>
        <w:t xml:space="preserve">).</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législature à laquelle la session appartient.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77"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69" w:name="classe-meeting"/>
    <w:p>
      <w:pPr>
        <w:pStyle w:val="berschrift3"/>
      </w:pPr>
      <w:r>
        <w:t xml:space="preserve">Classe: Meeting</w:t>
      </w:r>
      <w:r>
        <w:t xml:space="preserve"> </w:t>
      </w:r>
      <w:bookmarkStart w:id="59" w:name="Meeting"/>
      <w:bookmarkEnd w:id="59"/>
    </w:p>
    <w:p>
      <w:pPr>
        <w:pStyle w:val="FirstParagraph"/>
      </w:pPr>
      <w:r>
        <w:rPr>
          <w:i/>
          <w:iCs/>
        </w:rPr>
        <w:t xml:space="preserve">La séance individuelle d’un organe — le niveau auquel les points de l’ordre du jour sont délibérés, les décisions prises et les interventions consignées. La séance est le nœud auquel les autres classes de la présente norme se rattachent via</w:t>
      </w:r>
      <w:r>
        <w:rPr>
          <w:i/>
          <w:iCs/>
        </w:rPr>
        <w:t xml:space="preserve"> </w:t>
      </w:r>
      <w:r>
        <w:rPr>
          <w:rStyle w:val="VerbatimChar"/>
          <w:i/>
          <w:iCs/>
        </w:rPr>
        <w:t xml:space="preserve">parent_meeting</w:t>
      </w:r>
      <w:r>
        <w:rPr>
          <w:i/>
          <w:iCs/>
        </w:rPr>
        <w:t xml:space="preserve"> </w:t>
      </w:r>
      <w:r>
        <w:rPr>
          <w:i/>
          <w:iCs/>
        </w:rPr>
        <w:t xml:space="preserve">: les points de l’ordre du jour (AgendaItem), les votes et élections (Voting, Election), les interventions (Speech) ainsi que la liste de présence (Attendance). À ce niveau, les heures prévues et les heures effectives divergent régulièrement — une séance fixée à 14h00 ne commence, en raison de retards, qu’à 14h25 et se termine à 17h30 au lieu de 18h00 —, raison pour laquelle le début et la fin sont consignés tant prévus qu’effectifs.</w:t>
      </w:r>
    </w:p>
    <w:bookmarkStart w:id="60"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Nom du groupe ou de l’organe en clair, en complément de la référence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l’organe politique en clair (p. ex. Conseil national), en complément de la référence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Indique si la séance a lieu comme prévu (planifiée, annulée, reportée). Une désignation divergente, en texte libre, est reprise dans</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de la séance, là où les valeurs de</w:t>
            </w:r>
            <w:r>
              <w:t xml:space="preserve"> </w:t>
            </w:r>
            <w:r>
              <w:rPr>
                <w:rStyle w:val="VerbatimChar"/>
              </w:rPr>
              <w:t xml:space="preserve">state</w:t>
            </w:r>
            <w:r>
              <w:t xml:space="preserve"> </w:t>
            </w:r>
            <w:r>
              <w:t xml:space="preserve">ne suffisent pas.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Lieu où se tient la séance — la salle physique (« Palais fédéral, salle du Conseil national »), une visioconférence ou un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Identifiant de la session à laquelle la séance appartient.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de séance tels que le bulletin (Tagblatt) ou les annexes, sous forme de FRBR Works. Le procès-verbal n’est pas lié ici, mais via</w:t>
            </w:r>
            <w:r>
              <w:t xml:space="preserve"> </w:t>
            </w:r>
            <w:r>
              <w:rPr>
                <w:rStyle w:val="VerbatimChar"/>
              </w:rPr>
              <w:t xml:space="preserve">has_protocol</w:t>
            </w:r>
            <w:r>
              <w:t xml:space="preserve">.</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0"/>
    <w:bookmarkStart w:id="61"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1"/>
    <w:bookmarkStart w:id="68" w:name="exemples-3"/>
    <w:p>
      <w:pPr>
        <w:pStyle w:val="berschrift4"/>
      </w:pPr>
      <w:r>
        <w:t xml:space="preserve">Exemples</w:t>
      </w:r>
    </w:p>
    <w:bookmarkStart w:id="62"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2"/>
    <w:bookmarkStart w:id="63"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3"/>
    <w:bookmarkStart w:id="64"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End w:id="68"/>
    <w:bookmarkEnd w:id="69"/>
    <w:bookmarkStart w:id="76" w:name="enum-stateenum"/>
    <w:p>
      <w:pPr>
        <w:pStyle w:val="berschrift3"/>
      </w:pPr>
      <w:r>
        <w:t xml:space="preserve">Enum: StateEnum</w:t>
      </w:r>
      <w:r>
        <w:t xml:space="preserve"> </w:t>
      </w:r>
      <w:bookmarkStart w:id="70" w:name="StateEnum"/>
      <w:bookmarkEnd w:id="70"/>
    </w:p>
    <w:p>
      <w:pPr>
        <w:pStyle w:val="FirstParagraph"/>
      </w:pPr>
      <w:r>
        <w:rPr>
          <w:i/>
          <w:iCs/>
        </w:rPr>
        <w:t xml:space="preserve">État de la séance.</w:t>
      </w:r>
    </w:p>
    <w:p>
      <w:pPr>
        <w:pStyle w:val="Textkrper"/>
      </w:pPr>
      <w:r>
        <w:t xml:space="preserve">URI:</w:t>
      </w:r>
      <w:r>
        <w:t xml:space="preserve"> </w:t>
      </w:r>
      <w:hyperlink ns1:id="rId71">
        <w:r>
          <w:rPr>
            <w:rStyle w:val="Hyperlink"/>
          </w:rPr>
          <w:t xml:space="preserve">ops:StateEnum</w:t>
        </w:r>
      </w:hyperlink>
    </w:p>
    <w:bookmarkStart w:id="75"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7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7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74">
              <w:r>
                <w:rPr>
                  <w:rStyle w:val="Hyperlink"/>
                </w:rPr>
                <w:t xml:space="preserve">ops:enum/state/postponed</w:t>
              </w:r>
            </w:hyperlink>
          </w:p>
        </w:tc>
      </w:tr>
    </w:tbl>
    <w:bookmarkEnd w:id="75"/>
    <w:p>
      <w:r>
        <w:br w:type="page"/>
      </w:r>
    </w:p>
    <w:bookmarkEnd w:id="76"/>
    <w:bookmarkEnd w:id="77"/>
    <w:bookmarkEnd w:id="78"/>
    <w:bookmarkStart w:id="145"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 ce qui a effectivement été traité et décidé est consigné au procès-verbal.</w:t>
      </w:r>
    </w:p>
    <w:bookmarkStart w:id="106" w:name="agendaitem-point-de-lordre-du-jour"/>
    <w:p>
      <w:pPr>
        <w:pStyle w:val="berschrift2"/>
      </w:pPr>
      <w:r>
        <w:t xml:space="preserve">AgendaItem (point de l’ordre du jour)</w:t>
      </w:r>
    </w:p>
    <w:bookmarkStart w:id="99" w:name="classe-agendaitem"/>
    <w:p>
      <w:pPr>
        <w:pStyle w:val="berschrift3"/>
      </w:pPr>
      <w:r>
        <w:t xml:space="preserve">Classe: AgendaItem</w:t>
      </w:r>
      <w:r>
        <w:t xml:space="preserve"> </w:t>
      </w:r>
      <w:bookmarkStart w:id="79" w:name="AgendaItem"/>
      <w:bookmarkEnd w:id="79"/>
    </w:p>
    <w:p>
      <w:pPr>
        <w:pStyle w:val="FirstParagraph"/>
      </w:pPr>
      <w:r>
        <w:rPr>
          <w:i/>
          <w:iCs/>
        </w:rPr>
        <w:t xml:space="preserve">Un point de l’ordre du jour d’une séance, tel que planifié à l’avance. Il structure l’ordre du jour et relie l’organisation temporelle (Meeting) aux affaires matérielles (eCH-0295). Les points de l’ordre du jour représentent la planification d’une séance et ne sont plus modifiés dans les données une fois la séance ouverte : les écarts survenus durant la séance — points avancés, reportés ou ajoutés — sont consignés au procès-verbal (ProtocolItem) et se répercutent sur l’ordre du jour de la séance suivante. Pour la même raison, les heures prévues et effectives sont tenues séparément.</w:t>
      </w:r>
    </w:p>
    <w:bookmarkStart w:id="8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entière du point dans le déroulement de la séance, déterminante pour le tri et l’affichage.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là où l’énumération des statuts ne suffit pas.</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r>
              <w:t xml:space="preserve"> </w:t>
            </w:r>
            <w:r>
              <w:t xml:space="preserve">Héritage :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80"/>
    <w:bookmarkStart w:id="81" w:name="utilisations-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81"/>
    <w:bookmarkStart w:id="98" w:name="exemples-4"/>
    <w:p>
      <w:pPr>
        <w:pStyle w:val="berschrift4"/>
      </w:pPr>
      <w:r>
        <w:t xml:space="preserve">Exemples</w:t>
      </w:r>
    </w:p>
    <w:bookmarkStart w:id="82"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82"/>
    <w:bookmarkStart w:id="83"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83"/>
    <w:bookmarkStart w:id="84"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84"/>
    <w:bookmarkStart w:id="8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85"/>
    <w:bookmarkStart w:id="86"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86"/>
    <w:bookmarkStart w:id="8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87"/>
    <w:bookmarkStart w:id="8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88"/>
    <w:bookmarkStart w:id="89"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89"/>
    <w:bookmarkStart w:id="90"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90"/>
    <w:bookmarkStart w:id="91"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1"/>
    <w:bookmarkStart w:id="92"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92"/>
    <w:bookmarkStart w:id="9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93"/>
    <w:bookmarkStart w:id="94"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94"/>
    <w:bookmarkStart w:id="95"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5"/>
    <w:bookmarkStart w:id="9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7"/>
    <w:bookmarkEnd w:id="98"/>
    <w:bookmarkEnd w:id="99"/>
    <w:bookmarkStart w:id="105" w:name="enum-agendaitemtypeenum"/>
    <w:p>
      <w:pPr>
        <w:pStyle w:val="berschrift3"/>
      </w:pPr>
      <w:r>
        <w:t xml:space="preserve">Enum: AgendaItemTypeEnum</w:t>
      </w:r>
      <w:r>
        <w:t xml:space="preserve"> </w:t>
      </w:r>
      <w:bookmarkStart w:id="100" w:name="AgendaItemTypeEnum"/>
      <w:bookmarkEnd w:id="10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01">
        <w:r>
          <w:rPr>
            <w:rStyle w:val="Hyperlink"/>
          </w:rPr>
          <w:t xml:space="preserve">ops:AgendaItemTypeEnum</w:t>
        </w:r>
      </w:hyperlink>
    </w:p>
    <w:bookmarkStart w:id="104"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individuel de l’ordre du jour, avec délibération et, le cas échéant, vote.</w:t>
            </w:r>
          </w:p>
        </w:tc>
      </w:tr>
      <w:tr>
        <w:tc>
          <w:tcPr/>
          <w:p>
            <w:pPr>
              <w:pStyle w:val="Compact"/>
            </w:pPr>
          </w:p>
        </w:tc>
        <w:tc>
          <w:tcPr/>
          <w:p>
            <w:pPr>
              <w:pStyle w:val="Compact"/>
            </w:pPr>
            <w:hyperlink ns1:id="rId10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(groupe de points de l’ordre du jour) sous lequel des sous-points sont rangés au moyen de parent_agenda_item, p. ex. « Délibérations législatives ».</w:t>
            </w:r>
          </w:p>
        </w:tc>
      </w:tr>
      <w:tr>
        <w:tc>
          <w:tcPr/>
          <w:p>
            <w:pPr>
              <w:pStyle w:val="Compact"/>
            </w:pPr>
          </w:p>
        </w:tc>
        <w:tc>
          <w:tcPr/>
          <w:p>
            <w:pPr>
              <w:pStyle w:val="Compact"/>
            </w:pPr>
            <w:hyperlink ns1:id="rId103">
              <w:r>
                <w:rPr>
                  <w:rStyle w:val="Hyperlink"/>
                </w:rPr>
                <w:t xml:space="preserve">ops:enum/agenda_item_type/group</w:t>
              </w:r>
            </w:hyperlink>
          </w:p>
        </w:tc>
      </w:tr>
    </w:tbl>
    <w:bookmarkEnd w:id="104"/>
    <w:bookmarkEnd w:id="105"/>
    <w:bookmarkEnd w:id="106"/>
    <w:bookmarkStart w:id="118" w:name="procès-verbal-protocol"/>
    <w:p>
      <w:pPr>
        <w:pStyle w:val="berschrift2"/>
      </w:pPr>
      <w:r>
        <w:t xml:space="preserve">Procès-verbal (Protocol)</w:t>
      </w:r>
    </w:p>
    <w:p>
      <w:pPr>
        <w:pStyle w:val="FirstParagraph"/>
      </w:pPr>
      <w:r>
        <w:t xml:space="preserve">Le procès-verbal est</w:t>
      </w:r>
      <w:r>
        <w:t xml:space="preserve"> </w:t>
      </w:r>
      <w:r>
        <w:rPr>
          <w:b/>
          <w:bCs/>
        </w:rPr>
        <w:t xml:space="preserve">référencé et non imbriqué</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12" w:name="classe-protocol"/>
    <w:p>
      <w:pPr>
        <w:pStyle w:val="berschrift3"/>
      </w:pPr>
      <w:r>
        <w:t xml:space="preserve">Classe: Protocol</w:t>
      </w:r>
      <w:r>
        <w:t xml:space="preserve"> </w:t>
      </w:r>
      <w:bookmarkStart w:id="107" w:name="Protocol"/>
      <w:bookmarkEnd w:id="107"/>
    </w:p>
    <w:p>
      <w:pPr>
        <w:pStyle w:val="FirstParagraph"/>
      </w:pPr>
      <w:r>
        <w:rPr>
          <w:i/>
          <w:iCs/>
        </w:rPr>
        <w:t xml:space="preserve">Le procès-verbal d’une séance, établi après celle-ci et tenu exactement une fois par séance. Un conteneur qui regroupe les points effectivement traités (protocol_items), les votes, les élections, les interventions, les segments de texte in extenso et les documents liés. Le procès-verbal possède son propre identifiant, peut être cité de manière autonome et est en règle générale publié après la séance ; la séance ne fait donc que le référencer (Meeting.has_protocol), et le procès-verbal lui-même est livré dans Container.protocols, de sorte qu’il puisse être livré ultérieurement sans relivrer la séance. À l’intérieur du procès-verbal, les collections sont imbriquées, car elles naissent et sont livrées avec lui. Qui publie des votes ou des interventions indépendamment du procès-verbal les livre à plat dans Container.votings ou Container.speeches et les relie par parent_meeting et la référence au point de l’ordre du jour correspondante.</w:t>
      </w:r>
    </w:p>
    <w:bookmarkStart w:id="108"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08"/>
    <w:bookmarkStart w:id="109"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09"/>
    <w:bookmarkStart w:id="111" w:name="exemples-5"/>
    <w:p>
      <w:pPr>
        <w:pStyle w:val="berschrift4"/>
      </w:pPr>
      <w:r>
        <w:t xml:space="preserve">Exemples</w:t>
      </w:r>
    </w:p>
    <w:bookmarkStart w:id="110"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0"/>
    <w:bookmarkEnd w:id="111"/>
    <w:bookmarkEnd w:id="112"/>
    <w:bookmarkStart w:id="113" w:name="Xeab270e3dbf47b3d038db3a9f5c6de460d9186b"/>
    <w:p>
      <w:pPr>
        <w:pStyle w:val="berschrift3"/>
      </w:pPr>
      <w:r>
        <w:t xml:space="preserve">ProtocolItem (point consigné au procès-verbal)</w:t>
      </w:r>
    </w:p>
    <w:bookmarkEnd w:id="113"/>
    <w:bookmarkStart w:id="117" w:name="classe-protocolitem"/>
    <w:p>
      <w:pPr>
        <w:pStyle w:val="berschrift3"/>
      </w:pPr>
      <w:r>
        <w:t xml:space="preserve">Classe: ProtocolItem</w:t>
      </w:r>
      <w:r>
        <w:t xml:space="preserve"> </w:t>
      </w:r>
      <w:bookmarkStart w:id="114" w:name="ProtocolItem"/>
      <w:bookmarkEnd w:id="114"/>
    </w:p>
    <w:p>
      <w:pPr>
        <w:pStyle w:val="FirstParagraph"/>
      </w:pPr>
      <w:r>
        <w:rPr>
          <w:i/>
          <w:iCs/>
        </w:rPr>
        <w:t xml:space="preserve">Un point de l’ordre du jour tel qu’il a effectivement été consigné au procès-verbal. Il porte les mêmes éléments qu’AgendaItem par le mixin IsAgendaItem, mais constitue une classe à part entière : le point consigné n’est pas un cas particulier du point planifié. Il naît indépendamment et peut comprendre des points jamais mis à l’ordre du jour, de même que l’ordre du jour peut comprendre des points jamais traités.</w:t>
      </w:r>
    </w:p>
    <w:bookmarkStart w:id="115"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entière du point dans le déroulement de la séance, déterminante pour le tri et l’affichage.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là où l’énumération des statuts ne suffit pas.</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r>
              <w:t xml:space="preserve"> </w:t>
            </w:r>
            <w:r>
              <w:t xml:space="preserve">Héritage :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115"/>
    <w:bookmarkStart w:id="116"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16"/>
    <w:bookmarkEnd w:id="117"/>
    <w:bookmarkEnd w:id="118"/>
    <w:bookmarkStart w:id="123" w:name="délibération-commune-jointdebate"/>
    <w:p>
      <w:pPr>
        <w:pStyle w:val="berschrift2"/>
      </w:pPr>
      <w:r>
        <w:t xml:space="preserve">Délibération commune (JointDebate)</w:t>
      </w:r>
    </w:p>
    <w:bookmarkStart w:id="122" w:name="classe-jointdebate"/>
    <w:p>
      <w:pPr>
        <w:pStyle w:val="berschrift3"/>
      </w:pPr>
      <w:r>
        <w:t xml:space="preserve">Classe: JointDebate</w:t>
      </w:r>
      <w:r>
        <w:t xml:space="preserve"> </w:t>
      </w:r>
      <w:bookmarkStart w:id="119" w:name="JointDebate"/>
      <w:bookmarkEnd w:id="119"/>
    </w:p>
    <w:p>
      <w:pPr>
        <w:pStyle w:val="FirstParagraph"/>
      </w:pPr>
      <w:r>
        <w:rPr>
          <w:i/>
          <w:iCs/>
        </w:rPr>
        <w:t xml:space="preserve">Une délibération commune : plusieurs points de l’ordre du jour sont traités ensemble, par exemple des affaires connexes délibérées dans un seul et même débat. La délibération commune est rattachée à un point de l’ordre du jour (AgendaItem), à un point du procès-verbal (ProtocolItem), à une séance (Meeting) ou à une session (Session) et renvoie, par leurs identifiants, aux points traités conjointement. Rattachée à une séance ou à une session, elle peut aussi réunir des points répartis sur plusieurs positions de l’ordre du jour ou sur plusieurs séances.</w:t>
      </w:r>
    </w:p>
    <w:bookmarkStart w:id="120"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Identifiants des points de l’ordre du jour traités conjointement (AgendaItem ou ProtocolItem).</w:t>
            </w:r>
          </w:p>
        </w:tc>
      </w:tr>
    </w:tbl>
    <w:bookmarkEnd w:id="120"/>
    <w:bookmarkStart w:id="121"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21"/>
    <w:bookmarkEnd w:id="122"/>
    <w:bookmarkEnd w:id="123"/>
    <w:bookmarkStart w:id="140" w:name="resolution-décision"/>
    <w:p>
      <w:pPr>
        <w:pStyle w:val="berschrift2"/>
      </w:pPr>
      <w:r>
        <w:t xml:space="preserve">Resolution (décision)</w:t>
      </w:r>
    </w:p>
    <w:bookmarkStart w:id="127" w:name="classe-resolution"/>
    <w:p>
      <w:pPr>
        <w:pStyle w:val="berschrift3"/>
      </w:pPr>
      <w:r>
        <w:t xml:space="preserve">Classe: Resolution</w:t>
      </w:r>
      <w:r>
        <w:t xml:space="preserve"> </w:t>
      </w:r>
      <w:bookmarkStart w:id="124" w:name="Resolution"/>
      <w:bookmarkEnd w:id="124"/>
    </w:p>
    <w:p>
      <w:pPr>
        <w:pStyle w:val="FirstParagraph"/>
      </w:pPr>
      <w:r>
        <w:rPr>
          <w:i/>
          <w:iCs/>
        </w:rPr>
        <w:t xml:space="preserve">La décision formelle prise sur un point de l’ordre du jour, y compris les procédures de vote appliquées. Elle retient ce qui a été décidé, tandis que Voting retient comment il a été décidé (procédure et rapport de voix). Toute décision ne repose pas sur un vote formel : les prises de connaissance, les adoptions tacites ou les décisions administratives interviennent sans vote.</w:t>
      </w:r>
    </w:p>
    <w:bookmarkStart w:id="125"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Procédures selon lesquelles le vote a eu lieu. Procédures ouvertes : main levée, assis-debout, vote électronique, appel nominal et, en situation de crise, vote à distance (voix communiquées à l’avance à la présidence et saisies en même temps que le vote au conseil), procédure par voie de circulation ou vote lors de séances virtuelles. Procédures secrètes : bulletin de vote, vote électronique secret. La procédure détermine si les voix individuelles peuvent être saisies.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25"/>
    <w:bookmarkStart w:id="126" w:name="utilisations-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26"/>
    <w:bookmarkEnd w:id="127"/>
    <w:bookmarkStart w:id="139" w:name="enum-resolutiontypeenum"/>
    <w:p>
      <w:pPr>
        <w:pStyle w:val="berschrift3"/>
      </w:pPr>
      <w:r>
        <w:t xml:space="preserve">Enum: ResolutionTypeEnum</w:t>
      </w:r>
      <w:r>
        <w:t xml:space="preserve"> </w:t>
      </w:r>
      <w:bookmarkStart w:id="128" w:name="ResolutionTypeEnum"/>
      <w:bookmarkEnd w:id="128"/>
    </w:p>
    <w:p>
      <w:pPr>
        <w:pStyle w:val="FirstParagraph"/>
      </w:pPr>
      <w:r>
        <w:rPr>
          <w:i/>
          <w:iCs/>
        </w:rPr>
        <w:t xml:space="preserve">Type de décision prise sur un point de l’ordre du jour.</w:t>
      </w:r>
    </w:p>
    <w:p>
      <w:pPr>
        <w:pStyle w:val="Textkrper"/>
      </w:pPr>
      <w:r>
        <w:t xml:space="preserve">URI:</w:t>
      </w:r>
      <w:r>
        <w:t xml:space="preserve"> </w:t>
      </w:r>
      <w:hyperlink ns1:id="rId129">
        <w:r>
          <w:rPr>
            <w:rStyle w:val="Hyperlink"/>
          </w:rPr>
          <w:t xml:space="preserve">ops:ResolutionTypeEnum</w:t>
        </w:r>
      </w:hyperlink>
    </w:p>
    <w:bookmarkStart w:id="138"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Adoption : p. ex. un projet de loi adopté, une proposition approuvée, une décision prise.</w:t>
            </w:r>
          </w:p>
        </w:tc>
      </w:tr>
      <w:tr>
        <w:tc>
          <w:tcPr/>
          <w:p>
            <w:pPr>
              <w:pStyle w:val="Compact"/>
            </w:pPr>
          </w:p>
        </w:tc>
        <w:tc>
          <w:tcPr/>
          <w:p>
            <w:pPr>
              <w:pStyle w:val="Compact"/>
            </w:pPr>
            <w:hyperlink ns1:id="rId130">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 : p. ex. un projet de loi rejeté, une proposition repoussée.</w:t>
            </w:r>
          </w:p>
        </w:tc>
      </w:tr>
      <w:tr>
        <w:tc>
          <w:tcPr/>
          <w:p>
            <w:pPr>
              <w:pStyle w:val="Compact"/>
            </w:pPr>
          </w:p>
        </w:tc>
        <w:tc>
          <w:tcPr/>
          <w:p>
            <w:pPr>
              <w:pStyle w:val="Compact"/>
            </w:pPr>
            <w:hyperlink ns1:id="rId131">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 : p. ex. rapports sans vote, communications, points informatifs.</w:t>
            </w:r>
          </w:p>
        </w:tc>
      </w:tr>
      <w:tr>
        <w:tc>
          <w:tcPr/>
          <w:p>
            <w:pPr>
              <w:pStyle w:val="Compact"/>
            </w:pPr>
          </w:p>
        </w:tc>
        <w:tc>
          <w:tcPr/>
          <w:p>
            <w:pPr>
              <w:pStyle w:val="Compact"/>
            </w:pPr>
            <w:hyperlink ns1:id="rId132">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33">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34">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35">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36">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37">
              <w:r>
                <w:rPr>
                  <w:rStyle w:val="Hyperlink"/>
                </w:rPr>
                <w:t xml:space="preserve">ops:enum/resolution_type/other</w:t>
              </w:r>
            </w:hyperlink>
          </w:p>
        </w:tc>
      </w:tr>
    </w:tbl>
    <w:bookmarkEnd w:id="138"/>
    <w:bookmarkEnd w:id="139"/>
    <w:bookmarkEnd w:id="140"/>
    <w:bookmarkStart w:id="144" w:name="motion-propositions"/>
    <w:p>
      <w:pPr>
        <w:pStyle w:val="berschrift2"/>
      </w:pPr>
      <w:r>
        <w:t xml:space="preserve">Motion (propositions)</w:t>
      </w:r>
    </w:p>
    <w:bookmarkStart w:id="143" w:name="classe-motion"/>
    <w:p>
      <w:pPr>
        <w:pStyle w:val="berschrift3"/>
      </w:pPr>
      <w:r>
        <w:t xml:space="preserve">Classe: Motion</w:t>
      </w:r>
      <w:r>
        <w:t xml:space="preserve"> </w:t>
      </w:r>
      <w:bookmarkStart w:id="141" w:name="Motion"/>
      <w:bookmarkEnd w:id="141"/>
    </w:p>
    <w:p>
      <w:pPr>
        <w:pStyle w:val="FirstParagraph"/>
      </w:pPr>
      <w:r>
        <w:rPr>
          <w:i/>
          <w:iCs/>
        </w:rPr>
        <w:t xml:space="preserve">Une proposition formelle déposée au cours des délibérations, par exemple une proposition d’amendement à un texte légal, une motion d’ordre (p. ex. clôture du débat) ou une proposition de renvoi. Elle constitue une entité propre, car un point de l’ordre du jour peut comprendre plusieurs propositions, chacune ayant son propre déroulement (déposée, soutenue, mise aux voix) et, le cas échéant, son propre vote.</w:t>
      </w:r>
    </w:p>
    <w:bookmarkStart w:id="142"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abrégé de la proposition.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intégral de la proposition.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42"/>
    <w:p>
      <w:r>
        <w:br w:type="page"/>
      </w:r>
    </w:p>
    <w:bookmarkEnd w:id="143"/>
    <w:bookmarkEnd w:id="144"/>
    <w:bookmarkEnd w:id="145"/>
    <w:bookmarkStart w:id="214"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w:t>
      </w:r>
    </w:p>
    <w:bookmarkStart w:id="175" w:name="voting-vote"/>
    <w:p>
      <w:pPr>
        <w:pStyle w:val="berschrift2"/>
      </w:pPr>
      <w:r>
        <w:t xml:space="preserve">Voting (vote)</w:t>
      </w:r>
    </w:p>
    <w:bookmarkStart w:id="154" w:name="classe-voting"/>
    <w:p>
      <w:pPr>
        <w:pStyle w:val="berschrift3"/>
      </w:pPr>
      <w:r>
        <w:t xml:space="preserve">Classe: Voting</w:t>
      </w:r>
      <w:r>
        <w:t xml:space="preserve"> </w:t>
      </w:r>
      <w:bookmarkStart w:id="146" w:name="Voting"/>
      <w:bookmarkEnd w:id="146"/>
    </w:p>
    <w:p>
      <w:pPr>
        <w:pStyle w:val="FirstParagraph"/>
      </w:pPr>
      <w:r>
        <w:rPr>
          <w:i/>
          <w:iCs/>
        </w:rPr>
        <w:t xml:space="preserve">Un vote sur une question matérielle : l’objet du vote (la question), la procédure, le résultat avec le rapport de voix et — pour les votes ouverts — les voix individuelles des membres. Le vote a lieu au cours de la séance et est donc rattaché au procès-verbal (parent_protocol, parent_protocol_item) ; il est en outre lié à la séance (parent_meeting) et à l’affaire (affair_id). La présidente ou le président ne participe pas aux votes, mais départage en cas d’égalité des voix (tie_breaker). La décision catégorielle (adopté, rejeté, pris acte …) n’est pas retenue sur le vote, mais dans la Resolution du point de l’ordre du jour.</w:t>
      </w:r>
    </w:p>
    <w:bookmarkStart w:id="147"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le résultat a été obtenu, en cas d’égalité des voix, par la voix prépondérante de la présidente ou du président.</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Nombres de voix pour les options d’un vote à choix multiple, une entrée par option ; remplace total_count_yes, total_count_no et total_count_abstention (voir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7"/>
    <w:bookmarkStart w:id="148"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48"/>
    <w:bookmarkStart w:id="153" w:name="exemples-6"/>
    <w:p>
      <w:pPr>
        <w:pStyle w:val="berschrift4"/>
      </w:pPr>
      <w:r>
        <w:t xml:space="preserve">Exemples</w:t>
      </w:r>
    </w:p>
    <w:bookmarkStart w:id="149"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9"/>
    <w:bookmarkStart w:id="150"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50"/>
    <w:bookmarkStart w:id="151"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1"/>
    <w:bookmarkStart w:id="152"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52"/>
    <w:bookmarkEnd w:id="153"/>
    <w:bookmarkEnd w:id="154"/>
    <w:bookmarkStart w:id="163" w:name="enum-votingtypeenum"/>
    <w:p>
      <w:pPr>
        <w:pStyle w:val="berschrift3"/>
      </w:pPr>
      <w:r>
        <w:t xml:space="preserve">Enum: VotingTypeEnum</w:t>
      </w:r>
      <w:r>
        <w:t xml:space="preserve"> </w:t>
      </w:r>
      <w:bookmarkStart w:id="155" w:name="VotingTypeEnum"/>
      <w:bookmarkEnd w:id="155"/>
    </w:p>
    <w:p>
      <w:pPr>
        <w:pStyle w:val="FirstParagraph"/>
      </w:pPr>
      <w:r>
        <w:rPr>
          <w:i/>
          <w:iCs/>
        </w:rPr>
        <w:t xml:space="preserve">Type de procédure de vote.</w:t>
      </w:r>
    </w:p>
    <w:p>
      <w:pPr>
        <w:pStyle w:val="Textkrper"/>
      </w:pPr>
      <w:r>
        <w:t xml:space="preserve">URI:</w:t>
      </w:r>
      <w:r>
        <w:t xml:space="preserve"> </w:t>
      </w:r>
      <w:hyperlink ns1:id="rId156">
        <w:r>
          <w:rPr>
            <w:rStyle w:val="Hyperlink"/>
          </w:rPr>
          <w:t xml:space="preserve">ops:VotingTypeEnum</w:t>
        </w:r>
      </w:hyperlink>
    </w:p>
    <w:bookmarkStart w:id="162"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 au cours de la délibération, p. ex. sur l’entrée en matière, sur une proposition, opposition de deux propositions qui s’excluent mutuellement ou portent sur le même passage, vote éventuel lorsque plus de deux propositions portent sur un même objet, sur un article isolé d’une loi, ou vote sur l’ensemble après la première lecture d’un acte délibéré en deux lectures.</w:t>
            </w:r>
          </w:p>
        </w:tc>
      </w:tr>
      <w:tr>
        <w:tc>
          <w:tcPr/>
          <w:p>
            <w:pPr>
              <w:pStyle w:val="Compact"/>
            </w:pPr>
          </w:p>
        </w:tc>
        <w:tc>
          <w:tcPr/>
          <w:p>
            <w:pPr>
              <w:pStyle w:val="Compact"/>
            </w:pPr>
            <w:hyperlink ns1:id="rId157">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 sur l’objet dans son ensemble, p. ex. après la dernière lecture d’un acte, vote sur l’ensemble d’un arrêté, adoption ou rejet d’un objet dans sa totalité, ou vote point par point sur une intervention parlementaire.</w:t>
            </w:r>
          </w:p>
        </w:tc>
      </w:tr>
      <w:tr>
        <w:tc>
          <w:tcPr/>
          <w:p>
            <w:pPr>
              <w:pStyle w:val="Compact"/>
            </w:pPr>
          </w:p>
        </w:tc>
        <w:tc>
          <w:tcPr/>
          <w:p>
            <w:pPr>
              <w:pStyle w:val="Compact"/>
            </w:pPr>
            <w:hyperlink ns1:id="rId158">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présidente ou du président en cas d’égalité des voix. La présidente ou le président ne participe pas aux votes, mais tranche en cas d’égalité. Si un vote secret aboutit à une égalité, c’est la proposition de l’organe préparatoire qui est réputée adoptée.</w:t>
            </w:r>
          </w:p>
        </w:tc>
      </w:tr>
      <w:tr>
        <w:tc>
          <w:tcPr/>
          <w:p>
            <w:pPr>
              <w:pStyle w:val="Compact"/>
            </w:pPr>
          </w:p>
        </w:tc>
        <w:tc>
          <w:tcPr/>
          <w:p>
            <w:pPr>
              <w:pStyle w:val="Compact"/>
            </w:pPr>
            <w:hyperlink ns1:id="rId159">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secret, p. ex. sur des objets particulièrement sensibles tels qu’un recours en grâce ou la levée de l’immunité, après une délibération secrète ou sur demande. Seul le résultat global est publié.</w:t>
            </w:r>
          </w:p>
        </w:tc>
      </w:tr>
      <w:tr>
        <w:tc>
          <w:tcPr/>
          <w:p>
            <w:pPr>
              <w:pStyle w:val="Compact"/>
            </w:pPr>
          </w:p>
        </w:tc>
        <w:tc>
          <w:tcPr/>
          <w:p>
            <w:pPr>
              <w:pStyle w:val="Compact"/>
            </w:pPr>
            <w:hyperlink ns1:id="rId160">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 précisé dans type_label — p. ex. un vote à choix multiple sur plusieurs propositions de même sens (voir TotalOther).</w:t>
            </w:r>
          </w:p>
        </w:tc>
      </w:tr>
      <w:tr>
        <w:tc>
          <w:tcPr/>
          <w:p>
            <w:pPr>
              <w:pStyle w:val="Compact"/>
            </w:pPr>
          </w:p>
        </w:tc>
        <w:tc>
          <w:tcPr/>
          <w:p>
            <w:pPr>
              <w:pStyle w:val="Compact"/>
            </w:pPr>
            <w:hyperlink ns1:id="rId161">
              <w:r>
                <w:rPr>
                  <w:rStyle w:val="Hyperlink"/>
                </w:rPr>
                <w:t xml:space="preserve">ops:enum/voting_type/other</w:t>
              </w:r>
            </w:hyperlink>
          </w:p>
        </w:tc>
      </w:tr>
    </w:tbl>
    <w:bookmarkEnd w:id="162"/>
    <w:bookmarkEnd w:id="163"/>
    <w:bookmarkStart w:id="170" w:name="enum-majoritytypeenum"/>
    <w:p>
      <w:pPr>
        <w:pStyle w:val="berschrift3"/>
      </w:pPr>
      <w:r>
        <w:t xml:space="preserve">Enum: MajorityTypeEnum</w:t>
      </w:r>
      <w:r>
        <w:t xml:space="preserve"> </w:t>
      </w:r>
      <w:bookmarkStart w:id="164" w:name="MajorityTypeEnum"/>
      <w:bookmarkEnd w:id="164"/>
    </w:p>
    <w:p>
      <w:pPr>
        <w:pStyle w:val="FirstParagraph"/>
      </w:pPr>
      <w:r>
        <w:rPr>
          <w:i/>
          <w:iCs/>
        </w:rPr>
        <w:t xml:space="preserve">Type de majorité requise pour le vote.</w:t>
      </w:r>
    </w:p>
    <w:p>
      <w:pPr>
        <w:pStyle w:val="Textkrper"/>
      </w:pPr>
      <w:r>
        <w:t xml:space="preserve">URI:</w:t>
      </w:r>
      <w:r>
        <w:t xml:space="preserve"> </w:t>
      </w:r>
      <w:hyperlink ns1:id="rId165">
        <w:r>
          <w:rPr>
            <w:rStyle w:val="Hyperlink"/>
          </w:rPr>
          <w:t xml:space="preserve">ops:MajorityTypeEnum</w:t>
        </w:r>
      </w:hyperlink>
    </w:p>
    <w:bookmarkStart w:id="169"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 : plus de la moitié de la base de référence (membres ou voix exprimées, selon la réglementation applicable), p. ex. au moins 101 sur 200. Cas standard pour les élections de personnes telles que l’élection du Conseil fédéral ou des présidences de commission, et requise dans certains cantons pour les modifications constitutionnelles. Si personne ne l’atteint au premier tour d’une élection, un second tour suit généralement, où la majorité relative suffit.</w:t>
            </w:r>
          </w:p>
        </w:tc>
      </w:tr>
      <w:tr>
        <w:tc>
          <w:tcPr/>
          <w:p>
            <w:pPr>
              <w:pStyle w:val="Compact"/>
            </w:pPr>
          </w:p>
        </w:tc>
        <w:tc>
          <w:tcPr/>
          <w:p>
            <w:pPr>
              <w:pStyle w:val="Compact"/>
            </w:pPr>
            <w:hyperlink ns1:id="rId166">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 p. ex. au moins 134 sur 200 ; requise dans certains cantons pour les modifications constitutionnelles.</w:t>
            </w:r>
          </w:p>
        </w:tc>
      </w:tr>
      <w:tr>
        <w:tc>
          <w:tcPr/>
          <w:p>
            <w:pPr>
              <w:pStyle w:val="Compact"/>
            </w:pPr>
          </w:p>
        </w:tc>
        <w:tc>
          <w:tcPr/>
          <w:p>
            <w:pPr>
              <w:pStyle w:val="Compact"/>
            </w:pPr>
            <w:hyperlink ns1:id="rId167">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 p. ex. la majorité relative entre plusieurs options d’un vote à choix multiple.</w:t>
            </w:r>
          </w:p>
        </w:tc>
      </w:tr>
      <w:tr>
        <w:tc>
          <w:tcPr/>
          <w:p>
            <w:pPr>
              <w:pStyle w:val="Compact"/>
            </w:pPr>
          </w:p>
        </w:tc>
        <w:tc>
          <w:tcPr/>
          <w:p>
            <w:pPr>
              <w:pStyle w:val="Compact"/>
            </w:pPr>
            <w:hyperlink ns1:id="rId168">
              <w:r>
                <w:rPr>
                  <w:rStyle w:val="Hyperlink"/>
                </w:rPr>
                <w:t xml:space="preserve">ops:enum/majority_type/other</w:t>
              </w:r>
            </w:hyperlink>
          </w:p>
        </w:tc>
      </w:tr>
    </w:tbl>
    <w:bookmarkEnd w:id="169"/>
    <w:bookmarkEnd w:id="170"/>
    <w:bookmarkStart w:id="174" w:name="classe-totalother"/>
    <w:p>
      <w:pPr>
        <w:pStyle w:val="berschrift3"/>
      </w:pPr>
      <w:r>
        <w:t xml:space="preserve">Classe: TotalOther</w:t>
      </w:r>
      <w:r>
        <w:t xml:space="preserve"> </w:t>
      </w:r>
      <w:bookmarkStart w:id="171" w:name="TotalOther"/>
      <w:bookmarkEnd w:id="171"/>
    </w:p>
    <w:p>
      <w:pPr>
        <w:pStyle w:val="FirstParagraph"/>
      </w:pPr>
      <w:r>
        <w:rPr>
          <w:i/>
          <w:iCs/>
        </w:rPr>
        <w:t xml:space="preserve">Nombre de voix pour une option d’un vote à choix multiple. Lorsque plusieurs propositions de même sens portent sur la même question, les membres votent simultanément sur plus de deux variantes, et la variante qui obtient le plus de voix l’emporte (à Zurich, familièrement « Cup-Abstimmung », au moyen de plusieurs boutons de vote). Un tel vote est représenté avec voting_type other et un type_label explicite ; total_count_yes, total_count_no et total_count_abstention restent vides, et chaque option reçoit une entrée avec count et label. Exemple : Gemeinderat de la Ville de Zurich, séance du 28 février 2024, affaire 2023/361, quatre options avec 75, 25, 12 et 0 voix.</w:t>
      </w:r>
    </w:p>
    <w:bookmarkStart w:id="172"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172"/>
    <w:bookmarkStart w:id="173" w:name="utilisations-9"/>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73"/>
    <w:bookmarkEnd w:id="174"/>
    <w:bookmarkEnd w:id="175"/>
    <w:bookmarkStart w:id="201" w:name="individual-vote-voix-individuelle"/>
    <w:p>
      <w:pPr>
        <w:pStyle w:val="berschrift2"/>
      </w:pPr>
      <w:r>
        <w:t xml:space="preserve">Individual Vote (voix individuelle)</w:t>
      </w:r>
    </w:p>
    <w:bookmarkStart w:id="190" w:name="classe-individualvote"/>
    <w:p>
      <w:pPr>
        <w:pStyle w:val="berschrift3"/>
      </w:pPr>
      <w:r>
        <w:t xml:space="preserve">Classe: IndividualVote</w:t>
      </w:r>
      <w:r>
        <w:t xml:space="preserve"> </w:t>
      </w:r>
      <w:bookmarkStart w:id="176" w:name="IndividualVote"/>
      <w:bookmarkEnd w:id="176"/>
    </w:p>
    <w:p>
      <w:pPr>
        <w:pStyle w:val="FirstParagraph"/>
      </w:pPr>
      <w:r>
        <w:rPr>
          <w:i/>
          <w:iCs/>
        </w:rPr>
        <w:t xml:space="preserve">La voix exprimée par un membre lors d’un vote. Les voix individuelles ne sont saisies que pour les votes ouverts ; pour les votes secrets, seul le résultat global est publié. Une voix individuelle concerne un vote déterminé et se distingue de la présence (Attendance), qui retient la présence à la séance dans son ensemble : un membre présent à la séance peut être saisi avec not_voted lors d’un vote particulier, par exemple parce qu’il a brièvement quitté la salle.</w:t>
      </w:r>
    </w:p>
    <w:bookmarkStart w:id="17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Le membre qui a exprimé la voix, sous forme de référence à une personne selon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Poids de la voix du membre ; normalement 1. D’autres valeurs se présentent par exemple lorsqu’un membre vote aussi pour un membre absent (représentation, poids 2), dans les assemblées communales où des personnes morales disposent de plusieurs voix, ou dans des systèmes historiques où différents groupes de personnes avaient un poids de voix différent.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78"/>
    <w:bookmarkStart w:id="189" w:name="exemples-7"/>
    <w:p>
      <w:pPr>
        <w:pStyle w:val="berschrift4"/>
      </w:pPr>
      <w:r>
        <w:t xml:space="preserve">Exemples</w:t>
      </w:r>
    </w:p>
    <w:bookmarkStart w:id="17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79"/>
    <w:bookmarkStart w:id="1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0"/>
    <w:bookmarkStart w:id="1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1"/>
    <w:bookmarkStart w:id="18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2"/>
    <w:bookmarkStart w:id="18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3"/>
    <w:bookmarkStart w:id="1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4"/>
    <w:bookmarkStart w:id="18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5"/>
    <w:bookmarkStart w:id="18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6"/>
    <w:bookmarkStart w:id="18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7"/>
    <w:bookmarkStart w:id="18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8"/>
    <w:bookmarkEnd w:id="189"/>
    <w:bookmarkEnd w:id="190"/>
    <w:bookmarkStart w:id="200" w:name="enum-individualvotetypeenum"/>
    <w:p>
      <w:pPr>
        <w:pStyle w:val="berschrift3"/>
      </w:pPr>
      <w:r>
        <w:t xml:space="preserve">Enum: IndividualVoteTypeEnum</w:t>
      </w:r>
      <w:r>
        <w:t xml:space="preserve"> </w:t>
      </w:r>
      <w:bookmarkStart w:id="191" w:name="IndividualVoteTypeEnum"/>
      <w:bookmarkEnd w:id="191"/>
    </w:p>
    <w:p>
      <w:pPr>
        <w:pStyle w:val="FirstParagraph"/>
      </w:pPr>
      <w:r>
        <w:rPr>
          <w:i/>
          <w:iCs/>
        </w:rPr>
        <w:t xml:space="preserve">Type de voix individuelle exprimée par un membre.</w:t>
      </w:r>
    </w:p>
    <w:p>
      <w:pPr>
        <w:pStyle w:val="Textkrper"/>
      </w:pPr>
      <w:r>
        <w:t xml:space="preserve">URI:</w:t>
      </w:r>
      <w:r>
        <w:t xml:space="preserve"> </w:t>
      </w:r>
      <w:hyperlink ns1:id="rId192">
        <w:r>
          <w:rPr>
            <w:rStyle w:val="Hyperlink"/>
          </w:rPr>
          <w:t xml:space="preserve">ops:IndividualVoteTypeEnum</w:t>
        </w:r>
      </w:hyperlink>
    </w:p>
    <w:bookmarkStart w:id="199"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Oui : le membre approuve l’objet ou la proposition.</w:t>
            </w:r>
          </w:p>
        </w:tc>
      </w:tr>
      <w:tr>
        <w:tc>
          <w:tcPr/>
          <w:p>
            <w:pPr>
              <w:pStyle w:val="Compact"/>
            </w:pPr>
          </w:p>
        </w:tc>
        <w:tc>
          <w:tcPr/>
          <w:p>
            <w:pPr>
              <w:pStyle w:val="Compact"/>
            </w:pPr>
            <w:hyperlink ns1:id="rId1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Non : le membre rejette l’objet ou la proposition.</w:t>
            </w:r>
          </w:p>
        </w:tc>
      </w:tr>
      <w:tr>
        <w:tc>
          <w:tcPr/>
          <w:p>
            <w:pPr>
              <w:pStyle w:val="Compact"/>
            </w:pPr>
          </w:p>
        </w:tc>
        <w:tc>
          <w:tcPr/>
          <w:p>
            <w:pPr>
              <w:pStyle w:val="Compact"/>
            </w:pPr>
            <w:hyperlink ns1:id="rId1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 le membre participe au vote mais s’abstient ; en cas de vote électronique, il presse le bouton « abstention ».</w:t>
            </w:r>
          </w:p>
        </w:tc>
      </w:tr>
      <w:tr>
        <w:tc>
          <w:tcPr/>
          <w:p>
            <w:pPr>
              <w:pStyle w:val="Compact"/>
            </w:pPr>
          </w:p>
        </w:tc>
        <w:tc>
          <w:tcPr/>
          <w:p>
            <w:pPr>
              <w:pStyle w:val="Compact"/>
            </w:pPr>
            <w:hyperlink ns1:id="rId1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 : le membre n’a pas exprimé de voix, par exemple parce qu’il était présent sans voter ou absent.</w:t>
            </w:r>
          </w:p>
        </w:tc>
      </w:tr>
      <w:tr>
        <w:tc>
          <w:tcPr/>
          <w:p>
            <w:pPr>
              <w:pStyle w:val="Compact"/>
            </w:pPr>
          </w:p>
        </w:tc>
        <w:tc>
          <w:tcPr/>
          <w:p>
            <w:pPr>
              <w:pStyle w:val="Compact"/>
            </w:pPr>
            <w:hyperlink ns1:id="rId1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exprimée par la présidente ou le président en cas d’égalité des voix (voir voting_type tie_breaker_president).</w:t>
            </w:r>
          </w:p>
        </w:tc>
      </w:tr>
      <w:tr>
        <w:tc>
          <w:tcPr/>
          <w:p>
            <w:pPr>
              <w:pStyle w:val="Compact"/>
            </w:pPr>
          </w:p>
        </w:tc>
        <w:tc>
          <w:tcPr/>
          <w:p>
            <w:pPr>
              <w:pStyle w:val="Compact"/>
            </w:pPr>
            <w:hyperlink ns1:id="rId1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Voix qui ne peut être placée sur l’axe oui/non — par exemple lors d’un vote à choix multiple, où le membre a voté, mais ni oui ni non ; l’option choisie est retenue dans type_label (p. ex. « Choix A »). Pendant de total_other sur le vote ; la voix individuelle reste ainsi exploitable sans qu’il faille une valeur d’énumération propre pour chaque mécanisme de choix cantonal.</w:t>
            </w:r>
          </w:p>
        </w:tc>
      </w:tr>
      <w:tr>
        <w:tc>
          <w:tcPr/>
          <w:p>
            <w:pPr>
              <w:pStyle w:val="Compact"/>
            </w:pPr>
          </w:p>
        </w:tc>
        <w:tc>
          <w:tcPr/>
          <w:p>
            <w:pPr>
              <w:pStyle w:val="Compact"/>
            </w:pPr>
            <w:hyperlink ns1:id="rId198">
              <w:r>
                <w:rPr>
                  <w:rStyle w:val="Hyperlink"/>
                </w:rPr>
                <w:t xml:space="preserve">ops:enum/individual_vote_type/other</w:t>
              </w:r>
            </w:hyperlink>
          </w:p>
        </w:tc>
      </w:tr>
    </w:tbl>
    <w:bookmarkEnd w:id="199"/>
    <w:bookmarkEnd w:id="200"/>
    <w:bookmarkEnd w:id="201"/>
    <w:bookmarkStart w:id="213" w:name="election-élection"/>
    <w:p>
      <w:pPr>
        <w:pStyle w:val="berschrift2"/>
      </w:pPr>
      <w:r>
        <w:t xml:space="preserve">Election (élection)</w:t>
      </w:r>
    </w:p>
    <w:bookmarkStart w:id="205" w:name="classe-election"/>
    <w:p>
      <w:pPr>
        <w:pStyle w:val="berschrift3"/>
      </w:pPr>
      <w:r>
        <w:t xml:space="preserve">Classe: Election</w:t>
      </w:r>
      <w:r>
        <w:t xml:space="preserve"> </w:t>
      </w:r>
      <w:bookmarkStart w:id="202" w:name="Election"/>
      <w:bookmarkEnd w:id="202"/>
    </w:p>
    <w:p>
      <w:pPr>
        <w:pStyle w:val="FirstParagraph"/>
      </w:pPr>
      <w:r>
        <w:rPr>
          <w:i/>
          <w:iCs/>
        </w:rPr>
        <w:t xml:space="preserve">Une élection par laquelle un organe parlementaire désigne une ou plusieurs personnes à une charge ou à une fonction. Contrairement au vote (Voting), qui tranche des questions matérielles, l’élection est une décision portant sur des personnes : elle a souvent lieu au scrutin secret et requiert en général la majorité absolue, alors que les votes sont le plus souvent ouverts. La présidente ou le président, qui ne participe pas aux votes, prend part aux élections. Chaque tour de scrutin est saisi comme une élection distincte ; les tours d’une même élection sont reliés par le point de l’ordre du jour commun — par exemple un premier tour à la majorité absolue resté sans résultat, suivi d’un second tour où la majorité relative suffit.</w:t>
      </w:r>
    </w:p>
    <w:bookmarkStart w:id="203"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l’élection, p. ex. « Élection à la présidence de la CER ».</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de membres absents qui n’ont pas pu participer. La liste de présence (Attendance) indique si une absence était excusée.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03"/>
    <w:bookmarkStart w:id="204"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04"/>
    <w:bookmarkEnd w:id="205"/>
    <w:bookmarkStart w:id="212" w:name="enum-electiontypeenum"/>
    <w:p>
      <w:pPr>
        <w:pStyle w:val="berschrift3"/>
      </w:pPr>
      <w:r>
        <w:t xml:space="preserve">Enum: ElectionTypeEnum</w:t>
      </w:r>
      <w:r>
        <w:t xml:space="preserve"> </w:t>
      </w:r>
      <w:bookmarkStart w:id="206" w:name="ElectionTypeEnum"/>
      <w:bookmarkEnd w:id="206"/>
    </w:p>
    <w:p>
      <w:pPr>
        <w:pStyle w:val="FirstParagraph"/>
      </w:pPr>
      <w:r>
        <w:rPr>
          <w:i/>
          <w:iCs/>
        </w:rPr>
        <w:t xml:space="preserve">Type de procédure d’élection.</w:t>
      </w:r>
    </w:p>
    <w:p>
      <w:pPr>
        <w:pStyle w:val="Textkrper"/>
      </w:pPr>
      <w:r>
        <w:t xml:space="preserve">URI:</w:t>
      </w:r>
      <w:r>
        <w:t xml:space="preserve"> </w:t>
      </w:r>
      <w:hyperlink ns1:id="rId207">
        <w:r>
          <w:rPr>
            <w:rStyle w:val="Hyperlink"/>
          </w:rPr>
          <w:t xml:space="preserve">ops:ElectionTypeEnum</w:t>
        </w:r>
      </w:hyperlink>
    </w:p>
    <w:bookmarkStart w:id="211"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secrète : les voix sont exprimées anonymement, au moyen d’un bulletin ou d’un système électronique de vote secret, de sorte qu’on ne peut savoir qui a élu qui. Standard pour les élections de personnes et souvent prescrite par la loi — au niveau fédéral p. ex. le Conseil fédéral (par l’Assemblée fédérale Chambres réunies, à la majorité absolue lors des premiers tours), les juges fédérales et juges fédéraux et les présidences de commission ; au niveau cantonal p. ex. la présidence du parlement, la présidence du gouvernement, les présidences des tribunaux suprêmes, les juges, la chancelière ou le chancelier d’État et les présidences de commission. Seul le résultat global est publié, sans voix individuelles.</w:t>
            </w:r>
          </w:p>
        </w:tc>
      </w:tr>
      <w:tr>
        <w:tc>
          <w:tcPr/>
          <w:p>
            <w:pPr>
              <w:pStyle w:val="Compact"/>
            </w:pPr>
          </w:p>
        </w:tc>
        <w:tc>
          <w:tcPr/>
          <w:p>
            <w:pPr>
              <w:pStyle w:val="Compact"/>
            </w:pPr>
            <w:hyperlink ns1:id="rId20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ouverte : les voix sont exprimées ouvertement et l’on peut savoir qui a élu qui ; les voix individuelles peuvent donc être saisies. Usuelle lorsque la transparence est souhaitée, pour les élections non disputées ou dans les organes de petite taille.</w:t>
            </w:r>
          </w:p>
        </w:tc>
      </w:tr>
      <w:tr>
        <w:tc>
          <w:tcPr/>
          <w:p>
            <w:pPr>
              <w:pStyle w:val="Compact"/>
            </w:pPr>
          </w:p>
        </w:tc>
        <w:tc>
          <w:tcPr/>
          <w:p>
            <w:pPr>
              <w:pStyle w:val="Compact"/>
            </w:pPr>
            <w:hyperlink ns1:id="rId20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vote formel, par acclamation ou consensus ; possible uniquement si aucune opposition n’est formulée, p. ex. la réélection d’une présidente ou d’un président de commission sans candidature concurrente.</w:t>
            </w:r>
          </w:p>
        </w:tc>
      </w:tr>
      <w:tr>
        <w:tc>
          <w:tcPr/>
          <w:p>
            <w:pPr>
              <w:pStyle w:val="Compact"/>
            </w:pPr>
          </w:p>
        </w:tc>
        <w:tc>
          <w:tcPr/>
          <w:p>
            <w:pPr>
              <w:pStyle w:val="Compact"/>
            </w:pPr>
            <w:hyperlink ns1:id="rId210">
              <w:r>
                <w:rPr>
                  <w:rStyle w:val="Hyperlink"/>
                </w:rPr>
                <w:t xml:space="preserve">ops:enum/election_type/silent</w:t>
              </w:r>
            </w:hyperlink>
          </w:p>
        </w:tc>
      </w:tr>
    </w:tbl>
    <w:bookmarkEnd w:id="211"/>
    <w:p>
      <w:r>
        <w:br w:type="page"/>
      </w:r>
    </w:p>
    <w:bookmarkEnd w:id="212"/>
    <w:bookmarkEnd w:id="213"/>
    <w:bookmarkEnd w:id="214"/>
    <w:bookmarkStart w:id="246"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219" w:name="attendance-présence"/>
    <w:p>
      <w:pPr>
        <w:pStyle w:val="berschrift2"/>
      </w:pPr>
      <w:r>
        <w:t xml:space="preserve">Attendance (présence)</w:t>
      </w:r>
    </w:p>
    <w:bookmarkStart w:id="215" w:name="notion-et-signification"/>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215"/>
    <w:bookmarkStart w:id="218" w:name="structure-à-deux-niveaux"/>
    <w:p>
      <w:pPr>
        <w:pStyle w:val="berschrift3"/>
      </w:pPr>
      <w:r>
        <w:t xml:space="preserve">Structure à deux niveaux</w:t>
      </w:r>
    </w:p>
    <w:p>
      <w:pPr>
        <w:pStyle w:val="FirstParagraph"/>
      </w:pPr>
      <w:r>
        <w:t xml:space="preserve">La norme distingue deux niveaux de saisie de la présence :</w:t>
      </w:r>
    </w:p>
    <w:bookmarkStart w:id="216"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216"/>
    <w:bookmarkStart w:id="217"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217"/>
    <w:bookmarkEnd w:id="218"/>
    <w:bookmarkEnd w:id="219"/>
    <w:bookmarkStart w:id="223" w:name="attendance-niveau-agrégé-1"/>
    <w:p>
      <w:pPr>
        <w:pStyle w:val="berschrift2"/>
      </w:pPr>
      <w:r>
        <w:t xml:space="preserve">Attendance (niveau agrégé)</w:t>
      </w:r>
    </w:p>
    <w:bookmarkStart w:id="220" w:name="rattachement-à-la-séance-et-à-lorgane"/>
    <w:p>
      <w:pPr>
        <w:pStyle w:val="berschrift4"/>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220"/>
    <w:bookmarkStart w:id="221" w:name="chiffres-agrégés"/>
    <w:p>
      <w:pPr>
        <w:pStyle w:val="berschrift4"/>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221"/>
    <w:bookmarkStart w:id="222" w:name="quorum"/>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222"/>
    <w:bookmarkEnd w:id="223"/>
    <w:bookmarkStart w:id="245" w:name="individualattendance-niveau-individuel-1"/>
    <w:p>
      <w:pPr>
        <w:pStyle w:val="berschrift2"/>
      </w:pPr>
      <w:r>
        <w:t xml:space="preserve">IndividualAttendance (niveau individuel)</w:t>
      </w:r>
    </w:p>
    <w:bookmarkStart w:id="224" w:name="lien"/>
    <w:p>
      <w:pPr>
        <w:pStyle w:val="berschrift4"/>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224"/>
    <w:bookmarkStart w:id="226"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225">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226"/>
    <w:bookmarkStart w:id="227"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227"/>
    <w:bookmarkStart w:id="228"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228"/>
    <w:bookmarkStart w:id="229" w:name="utilisations-12"/>
    <w:p>
      <w:pPr>
        <w:pStyle w:val="berschrift3"/>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229"/>
    <w:bookmarkStart w:id="233" w:name="classe-attendance"/>
    <w:p>
      <w:pPr>
        <w:pStyle w:val="berschrift3"/>
      </w:pPr>
      <w:r>
        <w:t xml:space="preserve">Classe: Attendance</w:t>
      </w:r>
      <w:r>
        <w:t xml:space="preserve"> </w:t>
      </w:r>
      <w:bookmarkStart w:id="230" w:name="Attendance"/>
      <w:bookmarkEnd w:id="230"/>
    </w:p>
    <w:p>
      <w:pPr>
        <w:pStyle w:val="FirstParagraph"/>
      </w:pPr>
      <w:r>
        <w:rPr>
          <w:i/>
          <w:iCs/>
        </w:rPr>
        <w:t xml:space="preserve">Liste de présence agrégée pour une séance (nombre de membres présents, absents, excusés).</w:t>
      </w:r>
    </w:p>
    <w:bookmarkStart w:id="231"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1"/>
    <w:bookmarkStart w:id="232" w:name="utilisations-1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32"/>
    <w:bookmarkEnd w:id="233"/>
    <w:bookmarkStart w:id="237" w:name="classe-individualattendance"/>
    <w:p>
      <w:pPr>
        <w:pStyle w:val="berschrift3"/>
      </w:pPr>
      <w:r>
        <w:t xml:space="preserve">Classe: IndividualAttendance</w:t>
      </w:r>
      <w:r>
        <w:t xml:space="preserve"> </w:t>
      </w:r>
      <w:bookmarkStart w:id="234" w:name="IndividualAttendance"/>
      <w:bookmarkEnd w:id="234"/>
    </w:p>
    <w:p>
      <w:pPr>
        <w:pStyle w:val="FirstParagraph"/>
      </w:pPr>
      <w:r>
        <w:rPr>
          <w:i/>
          <w:iCs/>
        </w:rPr>
        <w:t xml:space="preserve">Constatation individuelle de la présence d’une personne à une séance (rattachée à l’agrégat Attendance parent).</w:t>
      </w:r>
    </w:p>
    <w:bookmarkStart w:id="235"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5"/>
    <w:bookmarkStart w:id="236"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36"/>
    <w:bookmarkEnd w:id="237"/>
    <w:bookmarkStart w:id="244" w:name="enum-attendancetypeenum"/>
    <w:p>
      <w:pPr>
        <w:pStyle w:val="berschrift3"/>
      </w:pPr>
      <w:r>
        <w:t xml:space="preserve">Enum: AttendanceTypeEnum</w:t>
      </w:r>
      <w:r>
        <w:t xml:space="preserve"> </w:t>
      </w:r>
      <w:bookmarkStart w:id="238" w:name="AttendanceTypeEnum"/>
      <w:bookmarkEnd w:id="238"/>
    </w:p>
    <w:p>
      <w:pPr>
        <w:pStyle w:val="FirstParagraph"/>
      </w:pPr>
      <w:r>
        <w:rPr>
          <w:i/>
          <w:iCs/>
        </w:rPr>
        <w:t xml:space="preserve">Type de présence individuelle.</w:t>
      </w:r>
    </w:p>
    <w:p>
      <w:pPr>
        <w:pStyle w:val="Textkrper"/>
      </w:pPr>
      <w:r>
        <w:t xml:space="preserve">URI:</w:t>
      </w:r>
      <w:r>
        <w:t xml:space="preserve"> </w:t>
      </w:r>
      <w:hyperlink ns1:id="rId239">
        <w:r>
          <w:rPr>
            <w:rStyle w:val="Hyperlink"/>
          </w:rPr>
          <w:t xml:space="preserve">ops:AttendanceTypeEnum</w:t>
        </w:r>
      </w:hyperlink>
    </w:p>
    <w:bookmarkStart w:id="243"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24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24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242">
              <w:r>
                <w:rPr>
                  <w:rStyle w:val="Hyperlink"/>
                </w:rPr>
                <w:t xml:space="preserve">ops:enum/attendance_type/present</w:t>
              </w:r>
            </w:hyperlink>
          </w:p>
        </w:tc>
      </w:tr>
    </w:tbl>
    <w:bookmarkEnd w:id="243"/>
    <w:p>
      <w:r>
        <w:br w:type="page"/>
      </w:r>
    </w:p>
    <w:bookmarkEnd w:id="244"/>
    <w:bookmarkEnd w:id="245"/>
    <w:bookmarkEnd w:id="246"/>
    <w:bookmarkStart w:id="278"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277" w:name="speech-intervention-prise-de-parole"/>
    <w:p>
      <w:pPr>
        <w:pStyle w:val="berschrift2"/>
      </w:pPr>
      <w:r>
        <w:t xml:space="preserve">Speech (intervention, prise de parole)</w:t>
      </w:r>
    </w:p>
    <w:bookmarkStart w:id="247" w:name="notion-et-signification-1"/>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247"/>
    <w:bookmarkStart w:id="252" w:name="types-de-speeches"/>
    <w:p>
      <w:pPr>
        <w:pStyle w:val="berschrift3"/>
      </w:pPr>
      <w:r>
        <w:t xml:space="preserve">Types de Speeches</w:t>
      </w:r>
    </w:p>
    <w:p>
      <w:pPr>
        <w:pStyle w:val="FirstParagraph"/>
      </w:pPr>
      <w:r>
        <w:t xml:space="preserve">Les interventions parlementaires prennent différentes formes :</w:t>
      </w:r>
    </w:p>
    <w:bookmarkStart w:id="248" w:name="interventions-principales"/>
    <w:p>
      <w:pPr>
        <w:pStyle w:val="berschrift4"/>
      </w:pPr>
      <w:r>
        <w:t xml:space="preserve">Interventions principales</w:t>
      </w:r>
    </w:p>
    <w:p>
      <w:pPr>
        <w:pStyle w:val="Compact"/>
        <w:numPr>
          <w:ilvl w:val="0"/>
          <w:numId w:val="1007"/>
        </w:numPr>
      </w:pPr>
      <w:r>
        <w:t xml:space="preserve">Prises de position détaillées sur une affaire</w:t>
      </w:r>
    </w:p>
    <w:p>
      <w:pPr>
        <w:pStyle w:val="Compact"/>
        <w:numPr>
          <w:ilvl w:val="0"/>
          <w:numId w:val="1007"/>
        </w:numPr>
      </w:pPr>
      <w:r>
        <w:t xml:space="preserve">Motivation de propositions</w:t>
      </w:r>
    </w:p>
    <w:p>
      <w:pPr>
        <w:pStyle w:val="Compact"/>
        <w:numPr>
          <w:ilvl w:val="0"/>
          <w:numId w:val="1007"/>
        </w:numPr>
      </w:pPr>
      <w:r>
        <w:t xml:space="preserve">Exposé de la position du groupe</w:t>
      </w:r>
    </w:p>
    <w:bookmarkEnd w:id="248"/>
    <w:bookmarkStart w:id="249" w:name="interventions-brèves"/>
    <w:p>
      <w:pPr>
        <w:pStyle w:val="berschrift4"/>
      </w:pPr>
      <w:r>
        <w:t xml:space="preserve">Interventions brèves</w:t>
      </w:r>
    </w:p>
    <w:p>
      <w:pPr>
        <w:pStyle w:val="Compact"/>
        <w:numPr>
          <w:ilvl w:val="0"/>
          <w:numId w:val="1008"/>
        </w:numPr>
      </w:pPr>
      <w:r>
        <w:t xml:space="preserve">Prises de parole courtes</w:t>
      </w:r>
    </w:p>
    <w:p>
      <w:pPr>
        <w:pStyle w:val="Compact"/>
        <w:numPr>
          <w:ilvl w:val="0"/>
          <w:numId w:val="1008"/>
        </w:numPr>
      </w:pPr>
      <w:r>
        <w:t xml:space="preserve">Questions intercalaires</w:t>
      </w:r>
    </w:p>
    <w:p>
      <w:pPr>
        <w:pStyle w:val="Compact"/>
        <w:numPr>
          <w:ilvl w:val="0"/>
          <w:numId w:val="1008"/>
        </w:numPr>
      </w:pPr>
      <w:r>
        <w:t xml:space="preserve">Rectifications</w:t>
      </w:r>
    </w:p>
    <w:bookmarkEnd w:id="249"/>
    <w:bookmarkStart w:id="250" w:name="déclarations-de-groupe"/>
    <w:p>
      <w:pPr>
        <w:pStyle w:val="berschrift4"/>
      </w:pPr>
      <w:r>
        <w:t xml:space="preserve">Déclarations de groupe</w:t>
      </w:r>
    </w:p>
    <w:p>
      <w:pPr>
        <w:pStyle w:val="Compact"/>
        <w:numPr>
          <w:ilvl w:val="0"/>
          <w:numId w:val="1009"/>
        </w:numPr>
      </w:pPr>
      <w:r>
        <w:t xml:space="preserve">Prise de position officielle d’un groupe</w:t>
      </w:r>
    </w:p>
    <w:p>
      <w:pPr>
        <w:pStyle w:val="Compact"/>
        <w:numPr>
          <w:ilvl w:val="0"/>
          <w:numId w:val="1009"/>
        </w:numPr>
      </w:pPr>
      <w:r>
        <w:t xml:space="preserve">Présentée par la ou le porte-parole du groupe</w:t>
      </w:r>
    </w:p>
    <w:bookmarkEnd w:id="250"/>
    <w:bookmarkStart w:id="251" w:name="interventions-gouvernementales"/>
    <w:p>
      <w:pPr>
        <w:pStyle w:val="berschrift4"/>
      </w:pPr>
      <w:r>
        <w:t xml:space="preserve">Interventions gouvernementales</w:t>
      </w:r>
    </w:p>
    <w:p>
      <w:pPr>
        <w:pStyle w:val="Compact"/>
        <w:numPr>
          <w:ilvl w:val="0"/>
          <w:numId w:val="1010"/>
        </w:numPr>
      </w:pPr>
      <w:r>
        <w:t xml:space="preserve">Prises de position de membres du gouvernement</w:t>
      </w:r>
    </w:p>
    <w:p>
      <w:pPr>
        <w:pStyle w:val="Compact"/>
        <w:numPr>
          <w:ilvl w:val="0"/>
          <w:numId w:val="1010"/>
        </w:numPr>
      </w:pPr>
      <w:r>
        <w:t xml:space="preserve">Réponses aux questions</w:t>
      </w:r>
    </w:p>
    <w:p>
      <w:pPr>
        <w:pStyle w:val="Compact"/>
        <w:numPr>
          <w:ilvl w:val="0"/>
          <w:numId w:val="1010"/>
        </w:numPr>
      </w:pPr>
      <w:r>
        <w:t xml:space="preserve">Défense de projets</w:t>
      </w:r>
    </w:p>
    <w:bookmarkEnd w:id="251"/>
    <w:bookmarkEnd w:id="252"/>
    <w:bookmarkStart w:id="254"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253" w:name="champs-de-rattachement"/>
    <w:p>
      <w:pPr>
        <w:pStyle w:val="berschrift4"/>
      </w:pPr>
      <w:r>
        <w:t xml:space="preserve">Champs de rattachement</w:t>
      </w:r>
    </w:p>
    <w:p>
      <w:pPr>
        <w:pStyle w:val="Compact"/>
        <w:numPr>
          <w:ilvl w:val="0"/>
          <w:numId w:val="1011"/>
        </w:numPr>
      </w:pPr>
      <w:r>
        <w:rPr>
          <w:b/>
          <w:bCs/>
        </w:rPr>
        <w:t xml:space="preserve">meeting_id</w:t>
      </w:r>
      <w:r>
        <w:t xml:space="preserve"> </w:t>
      </w:r>
      <w:r>
        <w:t xml:space="preserve">: la séance au cours de laquelle l’intervention a eu lieu</w:t>
      </w:r>
    </w:p>
    <w:p>
      <w:pPr>
        <w:pStyle w:val="Compact"/>
        <w:numPr>
          <w:ilvl w:val="0"/>
          <w:numId w:val="1011"/>
        </w:numPr>
      </w:pPr>
      <w:r>
        <w:rPr>
          <w:b/>
          <w:bCs/>
        </w:rPr>
        <w:t xml:space="preserve">agenda_item_id</w:t>
      </w:r>
      <w:r>
        <w:t xml:space="preserve"> </w:t>
      </w:r>
      <w:r>
        <w:t xml:space="preserve">: le point de l’ordre du jour auquel se rapporte l’intervention</w:t>
      </w:r>
    </w:p>
    <w:p>
      <w:pPr>
        <w:pStyle w:val="Compact"/>
        <w:numPr>
          <w:ilvl w:val="0"/>
          <w:numId w:val="1011"/>
        </w:numPr>
      </w:pPr>
      <w:r>
        <w:rPr>
          <w:b/>
          <w:bCs/>
        </w:rPr>
        <w:t xml:space="preserve">person_id</w:t>
      </w:r>
      <w:r>
        <w:t xml:space="preserve"> </w:t>
      </w:r>
      <w:r>
        <w:t xml:space="preserve">: la personne qui s’exprime (selon eCH-0294 Actors)</w:t>
      </w:r>
    </w:p>
    <w:bookmarkEnd w:id="253"/>
    <w:bookmarkEnd w:id="254"/>
    <w:bookmarkStart w:id="255" w:name="X9ca50a71b8d0f7518b3b24134e269a33f0b90ff"/>
    <w:p>
      <w:pPr>
        <w:pStyle w:val="berschrift3"/>
      </w:pPr>
      <w:r>
        <w:t xml:space="preserve">Identification des personnes qui s’expriment</w:t>
      </w:r>
    </w:p>
    <w:p>
      <w:pPr>
        <w:pStyle w:val="Compact"/>
        <w:numPr>
          <w:ilvl w:val="0"/>
          <w:numId w:val="1012"/>
        </w:numPr>
      </w:pPr>
      <w:r>
        <w:rPr>
          <w:b/>
          <w:bCs/>
        </w:rPr>
        <w:t xml:space="preserve">person_id</w:t>
      </w:r>
      <w:r>
        <w:t xml:space="preserve"> </w:t>
      </w:r>
      <w:r>
        <w:t xml:space="preserve">: identification univoque de la personne</w:t>
      </w:r>
    </w:p>
    <w:p>
      <w:pPr>
        <w:pStyle w:val="Compact"/>
        <w:numPr>
          <w:ilvl w:val="0"/>
          <w:numId w:val="1012"/>
        </w:numPr>
      </w:pPr>
      <w:r>
        <w:rPr>
          <w:b/>
          <w:bCs/>
        </w:rPr>
        <w:t xml:space="preserve">person_name</w:t>
      </w:r>
      <w:r>
        <w:t xml:space="preserve"> </w:t>
      </w:r>
      <w:r>
        <w:t xml:space="preserve">: nom, pour un accès rapide</w:t>
      </w:r>
    </w:p>
    <w:p>
      <w:pPr>
        <w:pStyle w:val="Compact"/>
        <w:numPr>
          <w:ilvl w:val="0"/>
          <w:numId w:val="1012"/>
        </w:numPr>
      </w:pPr>
      <w:r>
        <w:rPr>
          <w:b/>
          <w:bCs/>
        </w:rPr>
        <w:t xml:space="preserve">role</w:t>
      </w:r>
      <w:r>
        <w:t xml:space="preserve"> </w:t>
      </w:r>
      <w:r>
        <w:t xml:space="preserve">: rôle de la personne (p. ex. « présidence de groupe », « rapporteuse ou rapporteur », « conseillère fédérale / conseiller fédéral »)</w:t>
      </w:r>
    </w:p>
    <w:bookmarkEnd w:id="255"/>
    <w:bookmarkStart w:id="256" w:name="saisie-temporelle"/>
    <w:p>
      <w:pPr>
        <w:pStyle w:val="berschrift3"/>
      </w:pPr>
      <w:r>
        <w:t xml:space="preserve">Saisie temporelle</w:t>
      </w:r>
    </w:p>
    <w:p>
      <w:pPr>
        <w:pStyle w:val="Compact"/>
        <w:numPr>
          <w:ilvl w:val="0"/>
          <w:numId w:val="1013"/>
        </w:numPr>
      </w:pPr>
      <w:r>
        <w:rPr>
          <w:b/>
          <w:bCs/>
        </w:rPr>
        <w:t xml:space="preserve">start_time</w:t>
      </w:r>
      <w:r>
        <w:t xml:space="preserve"> </w:t>
      </w:r>
      <w:r>
        <w:t xml:space="preserve">: début de l’intervention</w:t>
      </w:r>
    </w:p>
    <w:p>
      <w:pPr>
        <w:pStyle w:val="Compact"/>
        <w:numPr>
          <w:ilvl w:val="0"/>
          <w:numId w:val="1013"/>
        </w:numPr>
      </w:pPr>
      <w:r>
        <w:rPr>
          <w:b/>
          <w:bCs/>
        </w:rPr>
        <w:t xml:space="preserve">end_time</w:t>
      </w:r>
      <w:r>
        <w:t xml:space="preserve"> </w:t>
      </w:r>
      <w:r>
        <w:t xml:space="preserve">: fin de l’intervention</w:t>
      </w:r>
    </w:p>
    <w:p>
      <w:pPr>
        <w:pStyle w:val="Compact"/>
        <w:numPr>
          <w:ilvl w:val="0"/>
          <w:numId w:val="1013"/>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256"/>
    <w:bookmarkStart w:id="257"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14"/>
        </w:numPr>
      </w:pPr>
      <w:r>
        <w:rPr>
          <w:b/>
          <w:bCs/>
        </w:rPr>
        <w:t xml:space="preserve">de</w:t>
      </w:r>
      <w:r>
        <w:t xml:space="preserve"> </w:t>
      </w:r>
      <w:r>
        <w:t xml:space="preserve">: allemand</w:t>
      </w:r>
    </w:p>
    <w:p>
      <w:pPr>
        <w:pStyle w:val="Compact"/>
        <w:numPr>
          <w:ilvl w:val="0"/>
          <w:numId w:val="1014"/>
        </w:numPr>
      </w:pPr>
      <w:r>
        <w:rPr>
          <w:b/>
          <w:bCs/>
        </w:rPr>
        <w:t xml:space="preserve">fr</w:t>
      </w:r>
      <w:r>
        <w:t xml:space="preserve"> </w:t>
      </w:r>
      <w:r>
        <w:t xml:space="preserve">: français</w:t>
      </w:r>
    </w:p>
    <w:p>
      <w:pPr>
        <w:pStyle w:val="Compact"/>
        <w:numPr>
          <w:ilvl w:val="0"/>
          <w:numId w:val="1014"/>
        </w:numPr>
      </w:pPr>
      <w:r>
        <w:rPr>
          <w:b/>
          <w:bCs/>
        </w:rPr>
        <w:t xml:space="preserve">it</w:t>
      </w:r>
      <w:r>
        <w:t xml:space="preserve"> </w:t>
      </w:r>
      <w:r>
        <w:t xml:space="preserve">: italien</w:t>
      </w:r>
    </w:p>
    <w:p>
      <w:pPr>
        <w:pStyle w:val="Compact"/>
        <w:numPr>
          <w:ilvl w:val="0"/>
          <w:numId w:val="1014"/>
        </w:numPr>
      </w:pPr>
      <w:r>
        <w:rPr>
          <w:b/>
          <w:bCs/>
        </w:rPr>
        <w:t xml:space="preserve">rm</w:t>
      </w:r>
      <w:r>
        <w:t xml:space="preserve"> </w:t>
      </w:r>
      <w:r>
        <w:t xml:space="preserve">: romanche</w:t>
      </w:r>
    </w:p>
    <w:p>
      <w:pPr>
        <w:pStyle w:val="Compact"/>
        <w:numPr>
          <w:ilvl w:val="0"/>
          <w:numId w:val="1014"/>
        </w:numPr>
      </w:pPr>
      <w:r>
        <w:rPr>
          <w:b/>
          <w:bCs/>
        </w:rPr>
        <w:t xml:space="preserve">en</w:t>
      </w:r>
      <w:r>
        <w:t xml:space="preserve"> </w:t>
      </w:r>
      <w:r>
        <w:t xml:space="preserve">: anglais</w:t>
      </w:r>
    </w:p>
    <w:bookmarkEnd w:id="257"/>
    <w:bookmarkStart w:id="263"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261" w:name="différentes-versions-du-texte"/>
    <w:p>
      <w:pPr>
        <w:pStyle w:val="berschrift4"/>
      </w:pPr>
      <w:r>
        <w:t xml:space="preserve">Différentes versions du texte</w:t>
      </w:r>
    </w:p>
    <w:bookmarkStart w:id="258" w:name="transcription-brute"/>
    <w:p>
      <w:pPr>
        <w:pStyle w:val="berschrift5"/>
      </w:pPr>
      <w:r>
        <w:t xml:space="preserve">Transcription brute</w:t>
      </w:r>
    </w:p>
    <w:p>
      <w:pPr>
        <w:pStyle w:val="Compact"/>
        <w:numPr>
          <w:ilvl w:val="0"/>
          <w:numId w:val="1015"/>
        </w:numPr>
      </w:pPr>
      <w:r>
        <w:t xml:space="preserve">Retranscription littérale</w:t>
      </w:r>
    </w:p>
    <w:p>
      <w:pPr>
        <w:pStyle w:val="Compact"/>
        <w:numPr>
          <w:ilvl w:val="0"/>
          <w:numId w:val="1015"/>
        </w:numPr>
      </w:pPr>
      <w:r>
        <w:t xml:space="preserve">Non remaniée, avec les mots de remplissage</w:t>
      </w:r>
    </w:p>
    <w:p>
      <w:pPr>
        <w:pStyle w:val="Compact"/>
        <w:numPr>
          <w:ilvl w:val="0"/>
          <w:numId w:val="1015"/>
        </w:numPr>
      </w:pPr>
      <w:r>
        <w:t xml:space="preserve">Disponible directement après la séance</w:t>
      </w:r>
    </w:p>
    <w:bookmarkEnd w:id="258"/>
    <w:bookmarkStart w:id="259" w:name="transcription-remaniée"/>
    <w:p>
      <w:pPr>
        <w:pStyle w:val="berschrift5"/>
      </w:pPr>
      <w:r>
        <w:t xml:space="preserve">Transcription remaniée</w:t>
      </w:r>
    </w:p>
    <w:p>
      <w:pPr>
        <w:pStyle w:val="Compact"/>
        <w:numPr>
          <w:ilvl w:val="0"/>
          <w:numId w:val="1016"/>
        </w:numPr>
      </w:pPr>
      <w:r>
        <w:t xml:space="preserve">Revue sur le plan rédactionnel</w:t>
      </w:r>
    </w:p>
    <w:p>
      <w:pPr>
        <w:pStyle w:val="Compact"/>
        <w:numPr>
          <w:ilvl w:val="0"/>
          <w:numId w:val="1016"/>
        </w:numPr>
      </w:pPr>
      <w:r>
        <w:t xml:space="preserve">Corrigée grammaticalement</w:t>
      </w:r>
    </w:p>
    <w:p>
      <w:pPr>
        <w:pStyle w:val="Compact"/>
        <w:numPr>
          <w:ilvl w:val="0"/>
          <w:numId w:val="1016"/>
        </w:numPr>
      </w:pPr>
      <w:r>
        <w:t xml:space="preserve">Version officielle du procès-verbal</w:t>
      </w:r>
    </w:p>
    <w:bookmarkEnd w:id="259"/>
    <w:bookmarkStart w:id="260" w:name="traductions"/>
    <w:p>
      <w:pPr>
        <w:pStyle w:val="berschrift5"/>
      </w:pPr>
      <w:r>
        <w:t xml:space="preserve">Traductions</w:t>
      </w:r>
    </w:p>
    <w:p>
      <w:pPr>
        <w:pStyle w:val="Compact"/>
        <w:numPr>
          <w:ilvl w:val="0"/>
          <w:numId w:val="1017"/>
        </w:numPr>
      </w:pPr>
      <w:r>
        <w:t xml:space="preserve">Dans d’autres langues nationales</w:t>
      </w:r>
    </w:p>
    <w:p>
      <w:pPr>
        <w:pStyle w:val="Compact"/>
        <w:numPr>
          <w:ilvl w:val="0"/>
          <w:numId w:val="1017"/>
        </w:numPr>
      </w:pPr>
      <w:r>
        <w:t xml:space="preserve">Pour les publications internationales</w:t>
      </w:r>
    </w:p>
    <w:bookmarkEnd w:id="260"/>
    <w:bookmarkEnd w:id="261"/>
    <w:bookmarkStart w:id="262"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262"/>
    <w:bookmarkEnd w:id="263"/>
    <w:bookmarkStart w:id="267"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264" w:name="enregistrements-audio"/>
    <w:p>
      <w:pPr>
        <w:pStyle w:val="berschrift4"/>
      </w:pPr>
      <w:r>
        <w:t xml:space="preserve">Enregistrements audio</w:t>
      </w:r>
    </w:p>
    <w:p>
      <w:pPr>
        <w:pStyle w:val="Compact"/>
        <w:numPr>
          <w:ilvl w:val="0"/>
          <w:numId w:val="1018"/>
        </w:numPr>
      </w:pPr>
      <w:r>
        <w:t xml:space="preserve">Son original de l’intervention</w:t>
      </w:r>
    </w:p>
    <w:p>
      <w:pPr>
        <w:pStyle w:val="Compact"/>
        <w:numPr>
          <w:ilvl w:val="0"/>
          <w:numId w:val="1018"/>
        </w:numPr>
      </w:pPr>
      <w:r>
        <w:t xml:space="preserve">Format : MP3, WAV, etc.</w:t>
      </w:r>
    </w:p>
    <w:p>
      <w:pPr>
        <w:pStyle w:val="Compact"/>
        <w:numPr>
          <w:ilvl w:val="0"/>
          <w:numId w:val="1018"/>
        </w:numPr>
      </w:pPr>
      <w:r>
        <w:t xml:space="preserve">Métadonnées techniques (qualité, débit binaire)</w:t>
      </w:r>
    </w:p>
    <w:bookmarkEnd w:id="264"/>
    <w:bookmarkStart w:id="265" w:name="enregistrements-vidéo"/>
    <w:p>
      <w:pPr>
        <w:pStyle w:val="berschrift4"/>
      </w:pPr>
      <w:r>
        <w:t xml:space="preserve">Enregistrements vidéo</w:t>
      </w:r>
    </w:p>
    <w:p>
      <w:pPr>
        <w:pStyle w:val="Compact"/>
        <w:numPr>
          <w:ilvl w:val="0"/>
          <w:numId w:val="1019"/>
        </w:numPr>
      </w:pPr>
      <w:r>
        <w:t xml:space="preserve">Enregistrement visuel (lors des séances plénières)</w:t>
      </w:r>
    </w:p>
    <w:p>
      <w:pPr>
        <w:pStyle w:val="Compact"/>
        <w:numPr>
          <w:ilvl w:val="0"/>
          <w:numId w:val="1019"/>
        </w:numPr>
      </w:pPr>
      <w:r>
        <w:t xml:space="preserve">Format : MP4, WebM, etc.</w:t>
      </w:r>
    </w:p>
    <w:p>
      <w:pPr>
        <w:pStyle w:val="Compact"/>
        <w:numPr>
          <w:ilvl w:val="0"/>
          <w:numId w:val="1019"/>
        </w:numPr>
      </w:pPr>
      <w:r>
        <w:t xml:space="preserve">Différentes résolutions</w:t>
      </w:r>
    </w:p>
    <w:bookmarkEnd w:id="265"/>
    <w:bookmarkStart w:id="266" w:name="diffusion-en-direct"/>
    <w:p>
      <w:pPr>
        <w:pStyle w:val="berschrift4"/>
      </w:pPr>
      <w:r>
        <w:t xml:space="preserve">Diffusion en direct</w:t>
      </w:r>
    </w:p>
    <w:p>
      <w:pPr>
        <w:pStyle w:val="Compact"/>
        <w:numPr>
          <w:ilvl w:val="0"/>
          <w:numId w:val="1020"/>
        </w:numPr>
      </w:pPr>
      <w:r>
        <w:t xml:space="preserve">Transmission en temps réel</w:t>
      </w:r>
    </w:p>
    <w:p>
      <w:pPr>
        <w:pStyle w:val="Compact"/>
        <w:numPr>
          <w:ilvl w:val="0"/>
          <w:numId w:val="1020"/>
        </w:numPr>
      </w:pPr>
      <w:r>
        <w:t xml:space="preserve">URL du flux</w:t>
      </w:r>
    </w:p>
    <w:p>
      <w:pPr>
        <w:pStyle w:val="Compact"/>
        <w:numPr>
          <w:ilvl w:val="0"/>
          <w:numId w:val="1020"/>
        </w:numPr>
      </w:pPr>
      <w:r>
        <w:t xml:space="preserve">Archivage après la séance</w:t>
      </w:r>
    </w:p>
    <w:bookmarkEnd w:id="266"/>
    <w:bookmarkEnd w:id="267"/>
    <w:bookmarkStart w:id="268" w:name="titre-et-description"/>
    <w:p>
      <w:pPr>
        <w:pStyle w:val="berschrift3"/>
      </w:pPr>
      <w:r>
        <w:t xml:space="preserve">Titre et description</w:t>
      </w:r>
    </w:p>
    <w:p>
      <w:pPr>
        <w:pStyle w:val="Compact"/>
        <w:numPr>
          <w:ilvl w:val="0"/>
          <w:numId w:val="1021"/>
        </w:numPr>
      </w:pPr>
      <w:r>
        <w:rPr>
          <w:b/>
          <w:bCs/>
        </w:rPr>
        <w:t xml:space="preserve">title</w:t>
      </w:r>
      <w:r>
        <w:t xml:space="preserve"> </w:t>
      </w:r>
      <w:r>
        <w:t xml:space="preserve">: titre court (p. ex. « Intervention sur la politique énergétique »)</w:t>
      </w:r>
    </w:p>
    <w:p>
      <w:pPr>
        <w:pStyle w:val="Compact"/>
        <w:numPr>
          <w:ilvl w:val="0"/>
          <w:numId w:val="1021"/>
        </w:numPr>
      </w:pPr>
      <w:r>
        <w:rPr>
          <w:b/>
          <w:bCs/>
        </w:rPr>
        <w:t xml:space="preserve">description</w:t>
      </w:r>
      <w:r>
        <w:t xml:space="preserve"> </w:t>
      </w:r>
      <w:r>
        <w:t xml:space="preserve">: résumé ou contexte de l’intervention</w:t>
      </w:r>
    </w:p>
    <w:bookmarkEnd w:id="268"/>
    <w:bookmarkStart w:id="269"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22"/>
        </w:numPr>
      </w:pPr>
      <w:r>
        <w:rPr>
          <w:b/>
          <w:bCs/>
        </w:rPr>
        <w:t xml:space="preserve">statement</w:t>
      </w:r>
      <w:r>
        <w:t xml:space="preserve"> </w:t>
      </w:r>
      <w:r>
        <w:t xml:space="preserve">: prise de position</w:t>
      </w:r>
    </w:p>
    <w:p>
      <w:pPr>
        <w:pStyle w:val="Compact"/>
        <w:numPr>
          <w:ilvl w:val="0"/>
          <w:numId w:val="1022"/>
        </w:numPr>
      </w:pPr>
      <w:r>
        <w:rPr>
          <w:b/>
          <w:bCs/>
        </w:rPr>
        <w:t xml:space="preserve">question</w:t>
      </w:r>
      <w:r>
        <w:t xml:space="preserve"> </w:t>
      </w:r>
      <w:r>
        <w:t xml:space="preserve">: question</w:t>
      </w:r>
    </w:p>
    <w:p>
      <w:pPr>
        <w:pStyle w:val="Compact"/>
        <w:numPr>
          <w:ilvl w:val="0"/>
          <w:numId w:val="1022"/>
        </w:numPr>
      </w:pPr>
      <w:r>
        <w:rPr>
          <w:b/>
          <w:bCs/>
        </w:rPr>
        <w:t xml:space="preserve">response</w:t>
      </w:r>
      <w:r>
        <w:t xml:space="preserve"> </w:t>
      </w:r>
      <w:r>
        <w:t xml:space="preserve">: réponse (p. ex. du gouvernement à une question)</w:t>
      </w:r>
    </w:p>
    <w:p>
      <w:pPr>
        <w:pStyle w:val="Compact"/>
        <w:numPr>
          <w:ilvl w:val="0"/>
          <w:numId w:val="1022"/>
        </w:numPr>
      </w:pPr>
      <w:r>
        <w:rPr>
          <w:b/>
          <w:bCs/>
        </w:rPr>
        <w:t xml:space="preserve">procedural</w:t>
      </w:r>
      <w:r>
        <w:t xml:space="preserve"> </w:t>
      </w:r>
      <w:r>
        <w:t xml:space="preserve">: proposition d’ordre</w:t>
      </w:r>
    </w:p>
    <w:p>
      <w:pPr>
        <w:pStyle w:val="Compact"/>
        <w:numPr>
          <w:ilvl w:val="0"/>
          <w:numId w:val="1022"/>
        </w:numPr>
      </w:pPr>
      <w:r>
        <w:rPr>
          <w:b/>
          <w:bCs/>
        </w:rPr>
        <w:t xml:space="preserve">declaration</w:t>
      </w:r>
      <w:r>
        <w:t xml:space="preserve"> </w:t>
      </w:r>
      <w:r>
        <w:t xml:space="preserve">: déclaration</w:t>
      </w:r>
    </w:p>
    <w:bookmarkEnd w:id="269"/>
    <w:bookmarkStart w:id="270"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270"/>
    <w:bookmarkStart w:id="276" w:name="classe-speech"/>
    <w:p>
      <w:pPr>
        <w:pStyle w:val="berschrift3"/>
      </w:pPr>
      <w:r>
        <w:t xml:space="preserve">Classe: Speech</w:t>
      </w:r>
      <w:r>
        <w:t xml:space="preserve"> </w:t>
      </w:r>
      <w:bookmarkStart w:id="271" w:name="Speech"/>
      <w:bookmarkEnd w:id="271"/>
    </w:p>
    <w:p>
      <w:pPr>
        <w:pStyle w:val="FirstParagraph"/>
      </w:pPr>
      <w:r>
        <w:rPr>
          <w:i/>
          <w:iCs/>
        </w:rPr>
        <w:t xml:space="preserve">Une intervention prononcée au cours d’une séance (également appelée prise de parole).</w:t>
      </w:r>
    </w:p>
    <w:bookmarkStart w:id="272"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2"/>
    <w:bookmarkStart w:id="273" w:name="utilisations-1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73"/>
    <w:bookmarkStart w:id="275" w:name="exemples-8"/>
    <w:p>
      <w:pPr>
        <w:pStyle w:val="berschrift4"/>
      </w:pPr>
      <w:r>
        <w:t xml:space="preserve">Exemples</w:t>
      </w:r>
    </w:p>
    <w:bookmarkStart w:id="274"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74"/>
    <w:bookmarkEnd w:id="275"/>
    <w:p>
      <w:r>
        <w:br w:type="page"/>
      </w:r>
    </w:p>
    <w:bookmarkEnd w:id="276"/>
    <w:bookmarkEnd w:id="277"/>
    <w:bookmarkEnd w:id="278"/>
    <w:bookmarkStart w:id="297"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284" w:name="textsegment"/>
    <w:p>
      <w:pPr>
        <w:pStyle w:val="berschrift2"/>
      </w:pPr>
      <w:r>
        <w:t xml:space="preserve">TextSegment</w:t>
      </w:r>
    </w:p>
    <w:bookmarkStart w:id="279" w:name="but"/>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279"/>
    <w:bookmarkStart w:id="280" w:name="structure"/>
    <w:p>
      <w:pPr>
        <w:pStyle w:val="berschrift3"/>
      </w:pPr>
      <w:r>
        <w:t xml:space="preserve">Structure</w:t>
      </w:r>
    </w:p>
    <w:p>
      <w:pPr>
        <w:pStyle w:val="Compact"/>
        <w:numPr>
          <w:ilvl w:val="0"/>
          <w:numId w:val="1023"/>
        </w:numPr>
      </w:pPr>
      <w:r>
        <w:rPr>
          <w:b/>
          <w:bCs/>
        </w:rPr>
        <w:t xml:space="preserve">text</w:t>
      </w:r>
      <w:r>
        <w:t xml:space="preserve"> </w:t>
      </w:r>
      <w:r>
        <w:t xml:space="preserve">: le contenu textuel proprement dit</w:t>
      </w:r>
    </w:p>
    <w:p>
      <w:pPr>
        <w:pStyle w:val="Compact"/>
        <w:numPr>
          <w:ilvl w:val="0"/>
          <w:numId w:val="1023"/>
        </w:numPr>
      </w:pPr>
      <w:r>
        <w:rPr>
          <w:b/>
          <w:bCs/>
        </w:rPr>
        <w:t xml:space="preserve">language</w:t>
      </w:r>
      <w:r>
        <w:t xml:space="preserve"> </w:t>
      </w:r>
      <w:r>
        <w:t xml:space="preserve">: code de langue (ISO 639-1)</w:t>
      </w:r>
    </w:p>
    <w:p>
      <w:pPr>
        <w:pStyle w:val="Compact"/>
        <w:numPr>
          <w:ilvl w:val="0"/>
          <w:numId w:val="1023"/>
        </w:numPr>
      </w:pPr>
      <w:r>
        <w:rPr>
          <w:b/>
          <w:bCs/>
        </w:rPr>
        <w:t xml:space="preserve">format</w:t>
      </w:r>
      <w:r>
        <w:t xml:space="preserve"> </w:t>
      </w:r>
      <w:r>
        <w:t xml:space="preserve">: format du texte (plain, markdown, html)</w:t>
      </w:r>
    </w:p>
    <w:p>
      <w:pPr>
        <w:pStyle w:val="Compact"/>
        <w:numPr>
          <w:ilvl w:val="0"/>
          <w:numId w:val="1023"/>
        </w:numPr>
      </w:pPr>
      <w:r>
        <w:rPr>
          <w:b/>
          <w:bCs/>
        </w:rPr>
        <w:t xml:space="preserve">version_type</w:t>
      </w:r>
      <w:r>
        <w:t xml:space="preserve"> </w:t>
      </w:r>
      <w:r>
        <w:t xml:space="preserve">: type de version</w:t>
      </w:r>
    </w:p>
    <w:p>
      <w:pPr>
        <w:pStyle w:val="Compact"/>
        <w:numPr>
          <w:ilvl w:val="1"/>
          <w:numId w:val="1024"/>
        </w:numPr>
      </w:pPr>
      <w:r>
        <w:rPr>
          <w:b/>
          <w:bCs/>
        </w:rPr>
        <w:t xml:space="preserve">raw</w:t>
      </w:r>
      <w:r>
        <w:t xml:space="preserve"> </w:t>
      </w:r>
      <w:r>
        <w:t xml:space="preserve">: transcription brute non remaniée</w:t>
      </w:r>
    </w:p>
    <w:p>
      <w:pPr>
        <w:pStyle w:val="Compact"/>
        <w:numPr>
          <w:ilvl w:val="1"/>
          <w:numId w:val="1024"/>
        </w:numPr>
      </w:pPr>
      <w:r>
        <w:rPr>
          <w:b/>
          <w:bCs/>
        </w:rPr>
        <w:t xml:space="preserve">edited</w:t>
      </w:r>
      <w:r>
        <w:t xml:space="preserve"> </w:t>
      </w:r>
      <w:r>
        <w:t xml:space="preserve">: version remaniée sur le plan rédactionnel</w:t>
      </w:r>
    </w:p>
    <w:p>
      <w:pPr>
        <w:pStyle w:val="Compact"/>
        <w:numPr>
          <w:ilvl w:val="1"/>
          <w:numId w:val="1024"/>
        </w:numPr>
      </w:pPr>
      <w:r>
        <w:rPr>
          <w:b/>
          <w:bCs/>
        </w:rPr>
        <w:t xml:space="preserve">translated</w:t>
      </w:r>
      <w:r>
        <w:t xml:space="preserve"> </w:t>
      </w:r>
      <w:r>
        <w:t xml:space="preserve">: traduction dans une autre langue</w:t>
      </w:r>
    </w:p>
    <w:p>
      <w:pPr>
        <w:pStyle w:val="Compact"/>
        <w:numPr>
          <w:ilvl w:val="1"/>
          <w:numId w:val="1024"/>
        </w:numPr>
      </w:pPr>
      <w:r>
        <w:rPr>
          <w:b/>
          <w:bCs/>
        </w:rPr>
        <w:t xml:space="preserve">summary</w:t>
      </w:r>
      <w:r>
        <w:t xml:space="preserve"> </w:t>
      </w:r>
      <w:r>
        <w:t xml:space="preserve">: résumé</w:t>
      </w:r>
    </w:p>
    <w:bookmarkEnd w:id="280"/>
    <w:bookmarkStart w:id="281" w:name="décision-de-conception"/>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281"/>
    <w:bookmarkStart w:id="282" w:name="application"/>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282"/>
    <w:bookmarkStart w:id="283"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283"/>
    <w:bookmarkEnd w:id="284"/>
    <w:bookmarkStart w:id="296" w:name="media"/>
    <w:p>
      <w:pPr>
        <w:pStyle w:val="berschrift2"/>
      </w:pPr>
      <w:r>
        <w:t xml:space="preserve">Media</w:t>
      </w:r>
    </w:p>
    <w:bookmarkStart w:id="285" w:name="but-1"/>
    <w:p>
      <w:pPr>
        <w:pStyle w:val="berschrift3"/>
      </w:pPr>
      <w:r>
        <w:t xml:space="preserve">But</w:t>
      </w:r>
    </w:p>
    <w:p>
      <w:pPr>
        <w:pStyle w:val="FirstParagraph"/>
      </w:pPr>
      <w:r>
        <w:t xml:space="preserve">Référence des fichiers médias (audio, vidéo, documents) se rapportant aux activités parlementaires.</w:t>
      </w:r>
    </w:p>
    <w:bookmarkEnd w:id="285"/>
    <w:bookmarkStart w:id="286" w:name="structure-1"/>
    <w:p>
      <w:pPr>
        <w:pStyle w:val="berschrift3"/>
      </w:pPr>
      <w:r>
        <w:t xml:space="preserve">Structure</w:t>
      </w:r>
    </w:p>
    <w:p>
      <w:pPr>
        <w:pStyle w:val="Compact"/>
        <w:numPr>
          <w:ilvl w:val="0"/>
          <w:numId w:val="1025"/>
        </w:numPr>
      </w:pPr>
      <w:r>
        <w:rPr>
          <w:b/>
          <w:bCs/>
        </w:rPr>
        <w:t xml:space="preserve">media_type</w:t>
      </w:r>
      <w:r>
        <w:t xml:space="preserve"> </w:t>
      </w:r>
      <w:r>
        <w:t xml:space="preserve">: type du fichier média</w:t>
      </w:r>
    </w:p>
    <w:p>
      <w:pPr>
        <w:pStyle w:val="Compact"/>
        <w:numPr>
          <w:ilvl w:val="1"/>
          <w:numId w:val="1026"/>
        </w:numPr>
      </w:pPr>
      <w:r>
        <w:rPr>
          <w:b/>
          <w:bCs/>
        </w:rPr>
        <w:t xml:space="preserve">audio</w:t>
      </w:r>
      <w:r>
        <w:t xml:space="preserve"> </w:t>
      </w:r>
      <w:r>
        <w:t xml:space="preserve">: enregistrement audio</w:t>
      </w:r>
    </w:p>
    <w:p>
      <w:pPr>
        <w:pStyle w:val="Compact"/>
        <w:numPr>
          <w:ilvl w:val="1"/>
          <w:numId w:val="1026"/>
        </w:numPr>
      </w:pPr>
      <w:r>
        <w:rPr>
          <w:b/>
          <w:bCs/>
        </w:rPr>
        <w:t xml:space="preserve">video</w:t>
      </w:r>
      <w:r>
        <w:t xml:space="preserve"> </w:t>
      </w:r>
      <w:r>
        <w:t xml:space="preserve">: enregistrement vidéo</w:t>
      </w:r>
    </w:p>
    <w:p>
      <w:pPr>
        <w:pStyle w:val="Compact"/>
        <w:numPr>
          <w:ilvl w:val="1"/>
          <w:numId w:val="1026"/>
        </w:numPr>
      </w:pPr>
      <w:r>
        <w:rPr>
          <w:b/>
          <w:bCs/>
        </w:rPr>
        <w:t xml:space="preserve">document</w:t>
      </w:r>
      <w:r>
        <w:t xml:space="preserve"> </w:t>
      </w:r>
      <w:r>
        <w:t xml:space="preserve">: documents (PDF, etc.)</w:t>
      </w:r>
    </w:p>
    <w:p>
      <w:pPr>
        <w:pStyle w:val="Compact"/>
        <w:numPr>
          <w:ilvl w:val="1"/>
          <w:numId w:val="1026"/>
        </w:numPr>
      </w:pPr>
      <w:r>
        <w:rPr>
          <w:b/>
          <w:bCs/>
        </w:rPr>
        <w:t xml:space="preserve">image</w:t>
      </w:r>
      <w:r>
        <w:t xml:space="preserve"> </w:t>
      </w:r>
      <w:r>
        <w:t xml:space="preserve">: images</w:t>
      </w:r>
    </w:p>
    <w:p>
      <w:pPr>
        <w:pStyle w:val="Compact"/>
        <w:numPr>
          <w:ilvl w:val="0"/>
          <w:numId w:val="1025"/>
        </w:numPr>
      </w:pPr>
      <w:r>
        <w:rPr>
          <w:b/>
          <w:bCs/>
        </w:rPr>
        <w:t xml:space="preserve">url</w:t>
      </w:r>
      <w:r>
        <w:t xml:space="preserve"> </w:t>
      </w:r>
      <w:r>
        <w:t xml:space="preserve">: URL du fichier média</w:t>
      </w:r>
    </w:p>
    <w:p>
      <w:pPr>
        <w:pStyle w:val="Compact"/>
        <w:numPr>
          <w:ilvl w:val="0"/>
          <w:numId w:val="1025"/>
        </w:numPr>
      </w:pPr>
      <w:r>
        <w:rPr>
          <w:b/>
          <w:bCs/>
        </w:rPr>
        <w:t xml:space="preserve">mime_type</w:t>
      </w:r>
      <w:r>
        <w:t xml:space="preserve"> </w:t>
      </w:r>
      <w:r>
        <w:t xml:space="preserve">: type MIME (audio/mp3, video/mp4, application/pdf, etc.)</w:t>
      </w:r>
    </w:p>
    <w:p>
      <w:pPr>
        <w:pStyle w:val="Compact"/>
        <w:numPr>
          <w:ilvl w:val="0"/>
          <w:numId w:val="1025"/>
        </w:numPr>
      </w:pPr>
      <w:r>
        <w:rPr>
          <w:b/>
          <w:bCs/>
        </w:rPr>
        <w:t xml:space="preserve">title</w:t>
      </w:r>
      <w:r>
        <w:t xml:space="preserve"> </w:t>
      </w:r>
      <w:r>
        <w:t xml:space="preserve">: titre du fichier média</w:t>
      </w:r>
    </w:p>
    <w:p>
      <w:pPr>
        <w:pStyle w:val="Compact"/>
        <w:numPr>
          <w:ilvl w:val="0"/>
          <w:numId w:val="1025"/>
        </w:numPr>
      </w:pPr>
      <w:r>
        <w:rPr>
          <w:b/>
          <w:bCs/>
        </w:rPr>
        <w:t xml:space="preserve">description</w:t>
      </w:r>
      <w:r>
        <w:t xml:space="preserve"> </w:t>
      </w:r>
      <w:r>
        <w:t xml:space="preserve">: description</w:t>
      </w:r>
    </w:p>
    <w:p>
      <w:pPr>
        <w:pStyle w:val="Compact"/>
        <w:numPr>
          <w:ilvl w:val="0"/>
          <w:numId w:val="1025"/>
        </w:numPr>
      </w:pPr>
      <w:r>
        <w:rPr>
          <w:b/>
          <w:bCs/>
        </w:rPr>
        <w:t xml:space="preserve">language</w:t>
      </w:r>
      <w:r>
        <w:t xml:space="preserve"> </w:t>
      </w:r>
      <w:r>
        <w:t xml:space="preserve">: langue (pour les médias fondés sur la langue)</w:t>
      </w:r>
    </w:p>
    <w:p>
      <w:pPr>
        <w:pStyle w:val="Compact"/>
        <w:numPr>
          <w:ilvl w:val="0"/>
          <w:numId w:val="1025"/>
        </w:numPr>
      </w:pPr>
      <w:r>
        <w:rPr>
          <w:b/>
          <w:bCs/>
        </w:rPr>
        <w:t xml:space="preserve">duration</w:t>
      </w:r>
      <w:r>
        <w:t xml:space="preserve"> </w:t>
      </w:r>
      <w:r>
        <w:t xml:space="preserve">: durée (pour l’audio et la vidéo, en secondes)</w:t>
      </w:r>
    </w:p>
    <w:p>
      <w:pPr>
        <w:pStyle w:val="Compact"/>
        <w:numPr>
          <w:ilvl w:val="0"/>
          <w:numId w:val="1025"/>
        </w:numPr>
      </w:pPr>
      <w:r>
        <w:rPr>
          <w:b/>
          <w:bCs/>
        </w:rPr>
        <w:t xml:space="preserve">file_size</w:t>
      </w:r>
      <w:r>
        <w:t xml:space="preserve"> </w:t>
      </w:r>
      <w:r>
        <w:t xml:space="preserve">: taille du fichier en octets</w:t>
      </w:r>
    </w:p>
    <w:p>
      <w:pPr>
        <w:pStyle w:val="Compact"/>
        <w:numPr>
          <w:ilvl w:val="0"/>
          <w:numId w:val="1025"/>
        </w:numPr>
      </w:pPr>
      <w:r>
        <w:rPr>
          <w:b/>
          <w:bCs/>
        </w:rPr>
        <w:t xml:space="preserve">quality</w:t>
      </w:r>
      <w:r>
        <w:t xml:space="preserve"> </w:t>
      </w:r>
      <w:r>
        <w:t xml:space="preserve">: indication de qualité (p. ex. « 720p », « high », « low »)</w:t>
      </w:r>
    </w:p>
    <w:bookmarkEnd w:id="286"/>
    <w:bookmarkStart w:id="287" w:name="décision-de-conception-1"/>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287"/>
    <w:bookmarkStart w:id="288" w:name="application-1"/>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288"/>
    <w:bookmarkStart w:id="292" w:name="classe-textsegment"/>
    <w:p>
      <w:pPr>
        <w:pStyle w:val="berschrift3"/>
      </w:pPr>
      <w:r>
        <w:t xml:space="preserve">Classe: TextSegment</w:t>
      </w:r>
      <w:r>
        <w:t xml:space="preserve"> </w:t>
      </w:r>
      <w:bookmarkStart w:id="289" w:name="TextSegment"/>
      <w:bookmarkEnd w:id="289"/>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290"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290"/>
    <w:bookmarkStart w:id="291"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291"/>
    <w:bookmarkEnd w:id="292"/>
    <w:bookmarkStart w:id="295" w:name="classe-media"/>
    <w:p>
      <w:pPr>
        <w:pStyle w:val="berschrift3"/>
      </w:pPr>
      <w:r>
        <w:t xml:space="preserve">Classe: Media</w:t>
      </w:r>
      <w:r>
        <w:t xml:space="preserve"> </w:t>
      </w:r>
      <w:bookmarkStart w:id="293" w:name="Media"/>
      <w:bookmarkEnd w:id="293"/>
    </w:p>
    <w:p>
      <w:pPr>
        <w:pStyle w:val="FirstParagraph"/>
      </w:pPr>
      <w:r>
        <w:rPr>
          <w:i/>
          <w:iCs/>
        </w:rPr>
        <w:t xml:space="preserve">Fichiers médias ou documents (y compris les procès-verbaux en PDF/HTML/WORD ou les liens vers des contenus audio/vidéo).</w:t>
      </w:r>
    </w:p>
    <w:bookmarkStart w:id="294"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294"/>
    <w:p>
      <w:r>
        <w:br w:type="page"/>
      </w:r>
    </w:p>
    <w:bookmarkEnd w:id="295"/>
    <w:bookmarkEnd w:id="296"/>
    <w:bookmarkEnd w:id="297"/>
    <w:bookmarkStart w:id="327" w:name="éléments-partagés"/>
    <w:p>
      <w:pPr>
        <w:pStyle w:val="berschrift1"/>
      </w:pPr>
      <w:r>
        <w:t xml:space="preserve">Éléments partagés</w:t>
      </w:r>
    </w:p>
    <w:bookmarkStart w:id="308"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27"/>
        </w:numPr>
      </w:pPr>
      <w:r>
        <w:rPr>
          <w:b/>
          <w:bCs/>
        </w:rPr>
        <w:t xml:space="preserve">Des données locales utiles</w:t>
      </w:r>
      <w:r>
        <w:t xml:space="preserve"> </w:t>
      </w:r>
      <w:r>
        <w:t xml:space="preserve">sans interrogation coûteuse de l’entité complète</w:t>
      </w:r>
    </w:p>
    <w:p>
      <w:pPr>
        <w:pStyle w:val="Compact"/>
        <w:numPr>
          <w:ilvl w:val="0"/>
          <w:numId w:val="1027"/>
        </w:numPr>
      </w:pPr>
      <w:r>
        <w:rPr>
          <w:b/>
          <w:bCs/>
        </w:rPr>
        <w:t xml:space="preserve">Pas de redondance</w:t>
      </w:r>
      <w:r>
        <w:t xml:space="preserve">, puisque toutes les indications ne doivent pas être répétées à chaque mention</w:t>
      </w:r>
    </w:p>
    <w:p>
      <w:pPr>
        <w:pStyle w:val="Compact"/>
        <w:numPr>
          <w:ilvl w:val="0"/>
          <w:numId w:val="1027"/>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302" w:name="classe-personreference"/>
    <w:p>
      <w:pPr>
        <w:pStyle w:val="berschrift3"/>
      </w:pPr>
      <w:r>
        <w:t xml:space="preserve">Classe: PersonReference</w:t>
      </w:r>
      <w:r>
        <w:t xml:space="preserve"> </w:t>
      </w:r>
      <w:bookmarkStart w:id="298" w:name="PersonReference"/>
      <w:bookmarkEnd w:id="29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300"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99"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28"/>
        </w:numPr>
      </w:pPr>
      <w:r>
        <w:t xml:space="preserve">local_id</w:t>
      </w:r>
    </w:p>
    <w:p>
      <w:pPr>
        <w:pStyle w:val="Compact"/>
        <w:numPr>
          <w:ilvl w:val="0"/>
          <w:numId w:val="1028"/>
        </w:numPr>
      </w:pPr>
      <w:r>
        <w:t xml:space="preserve">global_uri</w:t>
      </w:r>
    </w:p>
    <w:bookmarkEnd w:id="299"/>
    <w:bookmarkEnd w:id="300"/>
    <w:bookmarkStart w:id="301"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01"/>
    <w:bookmarkEnd w:id="302"/>
    <w:bookmarkStart w:id="307" w:name="classe-groupreference"/>
    <w:p>
      <w:pPr>
        <w:pStyle w:val="berschrift3"/>
      </w:pPr>
      <w:r>
        <w:t xml:space="preserve">Classe: GroupReference</w:t>
      </w:r>
      <w:r>
        <w:t xml:space="preserve"> </w:t>
      </w:r>
      <w:bookmarkStart w:id="303" w:name="GroupReference"/>
      <w:bookmarkEnd w:id="30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305"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304"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29"/>
        </w:numPr>
      </w:pPr>
      <w:r>
        <w:t xml:space="preserve">local_id</w:t>
      </w:r>
    </w:p>
    <w:p>
      <w:pPr>
        <w:pStyle w:val="Compact"/>
        <w:numPr>
          <w:ilvl w:val="0"/>
          <w:numId w:val="1029"/>
        </w:numPr>
      </w:pPr>
      <w:r>
        <w:t xml:space="preserve">global_uri</w:t>
      </w:r>
    </w:p>
    <w:bookmarkEnd w:id="304"/>
    <w:bookmarkEnd w:id="305"/>
    <w:bookmarkStart w:id="30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06"/>
    <w:bookmarkEnd w:id="307"/>
    <w:bookmarkEnd w:id="308"/>
    <w:bookmarkStart w:id="313"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312" w:name="classe-multilingualstring"/>
    <w:p>
      <w:pPr>
        <w:pStyle w:val="berschrift3"/>
      </w:pPr>
      <w:r>
        <w:t xml:space="preserve">Classe: MultilingualString</w:t>
      </w:r>
      <w:r>
        <w:t xml:space="preserve"> </w:t>
      </w:r>
      <w:bookmarkStart w:id="309" w:name="MultilingualString"/>
      <w:bookmarkEnd w:id="309"/>
    </w:p>
    <w:p>
      <w:pPr>
        <w:pStyle w:val="FirstParagraph"/>
      </w:pPr>
      <w:r>
        <w:rPr>
          <w:i/>
          <w:iCs/>
        </w:rPr>
        <w:t xml:space="preserve">Une chaîne de caractères pouvant contenir du texte en plusieurs langues.</w:t>
      </w:r>
    </w:p>
    <w:bookmarkStart w:id="310"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310"/>
    <w:bookmarkStart w:id="311"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11"/>
    <w:bookmarkEnd w:id="312"/>
    <w:bookmarkEnd w:id="313"/>
    <w:bookmarkStart w:id="326"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317" w:name="classe-hasidentification"/>
    <w:p>
      <w:pPr>
        <w:pStyle w:val="berschrift3"/>
      </w:pPr>
      <w:r>
        <w:t xml:space="preserve">Classe: HasIdentification</w:t>
      </w:r>
      <w:r>
        <w:t xml:space="preserve"> </w:t>
      </w:r>
      <w:bookmarkStart w:id="314" w:name="HasIdentification"/>
      <w:bookmarkEnd w:id="314"/>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5"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5"/>
    <w:bookmarkStart w:id="316"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16"/>
    <w:bookmarkEnd w:id="317"/>
    <w:bookmarkStart w:id="321" w:name="classe-hascreationmodificationdates"/>
    <w:p>
      <w:pPr>
        <w:pStyle w:val="berschrift3"/>
      </w:pPr>
      <w:r>
        <w:t xml:space="preserve">Classe: HasCreationModificationDates</w:t>
      </w:r>
      <w:r>
        <w:t xml:space="preserve"> </w:t>
      </w:r>
      <w:bookmarkStart w:id="318" w:name="HasCreationModificationDates"/>
      <w:bookmarkEnd w:id="318"/>
    </w:p>
    <w:p>
      <w:pPr>
        <w:pStyle w:val="FirstParagraph"/>
      </w:pPr>
      <w:r>
        <w:rPr>
          <w:i/>
          <w:iCs/>
        </w:rPr>
        <w:t xml:space="preserve">Une classe mixin qui fournit des slots pour modéliser les dates de création et de modification d’une entité.</w:t>
      </w:r>
    </w:p>
    <w:bookmarkStart w:id="319"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19"/>
    <w:bookmarkStart w:id="320"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20"/>
    <w:bookmarkEnd w:id="321"/>
    <w:bookmarkStart w:id="325" w:name="classe-iseventwithduration"/>
    <w:p>
      <w:pPr>
        <w:pStyle w:val="berschrift3"/>
      </w:pPr>
      <w:r>
        <w:t xml:space="preserve">Classe: IsEventWithDuration</w:t>
      </w:r>
      <w:r>
        <w:t xml:space="preserve"> </w:t>
      </w:r>
      <w:bookmarkStart w:id="322" w:name="IsEventWithDuration"/>
      <w:bookmarkEnd w:id="322"/>
    </w:p>
    <w:p>
      <w:pPr>
        <w:pStyle w:val="FirstParagraph"/>
      </w:pPr>
      <w:r>
        <w:rPr>
          <w:i/>
          <w:iCs/>
        </w:rPr>
        <w:t xml:space="preserve">Une classe mixin qui fournit des slots pour modéliser des événements ou occurrences avec une durée.</w:t>
      </w:r>
    </w:p>
    <w:bookmarkStart w:id="323"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323"/>
    <w:bookmarkStart w:id="324"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24"/>
    <w:p>
      <w:r>
        <w:br w:type="page"/>
      </w:r>
    </w:p>
    <w:bookmarkEnd w:id="325"/>
    <w:bookmarkEnd w:id="326"/>
    <w:bookmarkEnd w:id="327"/>
    <w:bookmarkStart w:id="328"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328"/>
    <w:bookmarkStart w:id="338"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34"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329">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330">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33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3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33">
              <w:r>
                <w:rPr>
                  <w:rStyle w:val="Hyperlink"/>
                </w:rPr>
                <w:t xml:space="preserve">https://www.ech.ch/de/ech/ech-0297</w:t>
              </w:r>
            </w:hyperlink>
          </w:p>
        </w:tc>
      </w:tr>
    </w:tbl>
    <w:bookmarkEnd w:id="334"/>
    <w:bookmarkStart w:id="337"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335">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36">
              <w:r>
                <w:rPr>
                  <w:rStyle w:val="Hyperlink"/>
                </w:rPr>
                <w:t xml:space="preserve">https://linkml.io</w:t>
              </w:r>
            </w:hyperlink>
          </w:p>
        </w:tc>
      </w:tr>
    </w:tbl>
    <w:bookmarkEnd w:id="337"/>
    <w:bookmarkEnd w:id="33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1" Target="https://ch.paf.link/schema/operations/AgendaItemTypeEnum" TargetMode="External" /><Relationship Type="http://schemas.openxmlformats.org/officeDocument/2006/relationships/hyperlink" Id="rId239" Target="https://ch.paf.link/schema/operations/AttendanceTypeEnum" TargetMode="External" /><Relationship Type="http://schemas.openxmlformats.org/officeDocument/2006/relationships/hyperlink" Id="rId207" Target="https://ch.paf.link/schema/operations/ElectionTypeEnum" TargetMode="External" /><Relationship Type="http://schemas.openxmlformats.org/officeDocument/2006/relationships/hyperlink" Id="rId192" Target="https://ch.paf.link/schema/operations/IndividualVoteTypeEnum" TargetMode="External" /><Relationship Type="http://schemas.openxmlformats.org/officeDocument/2006/relationships/hyperlink" Id="rId165" Target="https://ch.paf.link/schema/operations/MajorityTypeEnum" TargetMode="External" /><Relationship Type="http://schemas.openxmlformats.org/officeDocument/2006/relationships/hyperlink" Id="rId129"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156"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5" Target="https://github.com/swiss/political-affairs-ech-group/issues/24" TargetMode="External" /><Relationship Type="http://schemas.openxmlformats.org/officeDocument/2006/relationships/hyperlink" Id="rId336" Target="https://linkml.io" TargetMode="External" /><Relationship Type="http://schemas.openxmlformats.org/officeDocument/2006/relationships/hyperlink" Id="rId335" Target="https://www.dublincore.org/specifications/dublin-core/dcmi-terms/" TargetMode="External" /><Relationship Type="http://schemas.openxmlformats.org/officeDocument/2006/relationships/hyperlink" Id="rId329" Target="https://www.ech.ch/de/ech/ech-0292" TargetMode="External" /><Relationship Type="http://schemas.openxmlformats.org/officeDocument/2006/relationships/hyperlink" Id="rId330" Target="https://www.ech.ch/de/ech/ech-0294" TargetMode="External" /><Relationship Type="http://schemas.openxmlformats.org/officeDocument/2006/relationships/hyperlink" Id="rId331" Target="https://www.ech.ch/de/ech/ech-0295" TargetMode="External" /><Relationship Type="http://schemas.openxmlformats.org/officeDocument/2006/relationships/hyperlink" Id="rId332" Target="https://www.ech.ch/de/ech/ech-0296" TargetMode="External" /><Relationship Type="http://schemas.openxmlformats.org/officeDocument/2006/relationships/hyperlink" Id="rId333" Target="https://www.ech.ch/de/ech/ech-0297" TargetMode="External" /><Relationship Type="http://schemas.openxmlformats.org/officeDocument/2006/relationships/hyperlink" Id="rId103" Target="ops:enum/agenda_item_type/group" TargetMode="External" /><Relationship Type="http://schemas.openxmlformats.org/officeDocument/2006/relationships/hyperlink" Id="rId102" Target="ops:enum/agenda_item_type/item" TargetMode="External" /><Relationship Type="http://schemas.openxmlformats.org/officeDocument/2006/relationships/hyperlink" Id="rId242" Target="ops:enum/attendance_type/present" TargetMode="External" /><Relationship Type="http://schemas.openxmlformats.org/officeDocument/2006/relationships/hyperlink" Id="rId240" Target="ops:enum/attendance_type/remote" TargetMode="External" /><Relationship Type="http://schemas.openxmlformats.org/officeDocument/2006/relationships/hyperlink" Id="rId241" Target="ops:enum/attendance_type/substitute" TargetMode="External" /><Relationship Type="http://schemas.openxmlformats.org/officeDocument/2006/relationships/hyperlink" Id="rId209" Target="ops:enum/election_type/open" TargetMode="External" /><Relationship Type="http://schemas.openxmlformats.org/officeDocument/2006/relationships/hyperlink" Id="rId208" Target="ops:enum/election_type/secret" TargetMode="External" /><Relationship Type="http://schemas.openxmlformats.org/officeDocument/2006/relationships/hyperlink" Id="rId210" Target="ops:enum/election_type/silent" TargetMode="External" /><Relationship Type="http://schemas.openxmlformats.org/officeDocument/2006/relationships/hyperlink" Id="rId195" Target="ops:enum/individual_vote_type/abstention" TargetMode="External" /><Relationship Type="http://schemas.openxmlformats.org/officeDocument/2006/relationships/hyperlink" Id="rId194" Target="ops:enum/individual_vote_type/no" TargetMode="External" /><Relationship Type="http://schemas.openxmlformats.org/officeDocument/2006/relationships/hyperlink" Id="rId196" Target="ops:enum/individual_vote_type/not_voted" TargetMode="External" /><Relationship Type="http://schemas.openxmlformats.org/officeDocument/2006/relationships/hyperlink" Id="rId198" Target="ops:enum/individual_vote_type/other" TargetMode="External" /><Relationship Type="http://schemas.openxmlformats.org/officeDocument/2006/relationships/hyperlink" Id="rId197" Target="ops:enum/individual_vote_type/tie_breaker" TargetMode="External" /><Relationship Type="http://schemas.openxmlformats.org/officeDocument/2006/relationships/hyperlink" Id="rId193" Target="ops:enum/individual_vote_type/yes" TargetMode="External" /><Relationship Type="http://schemas.openxmlformats.org/officeDocument/2006/relationships/hyperlink" Id="rId166" Target="ops:enum/majority_type/absolute" TargetMode="External" /><Relationship Type="http://schemas.openxmlformats.org/officeDocument/2006/relationships/hyperlink" Id="rId168" Target="ops:enum/majority_type/other" TargetMode="External" /><Relationship Type="http://schemas.openxmlformats.org/officeDocument/2006/relationships/hyperlink" Id="rId167" Target="ops:enum/majority_type/two_thirds" TargetMode="External" /><Relationship Type="http://schemas.openxmlformats.org/officeDocument/2006/relationships/hyperlink" Id="rId130" Target="ops:enum/resolution_type/accepted" TargetMode="External" /><Relationship Type="http://schemas.openxmlformats.org/officeDocument/2006/relationships/hyperlink" Id="rId133" Target="ops:enum/resolution_type/accepted_point_by_point" TargetMode="External" /><Relationship Type="http://schemas.openxmlformats.org/officeDocument/2006/relationships/hyperlink" Id="rId134" Target="ops:enum/resolution_type/accepted_with_postulate" TargetMode="External" /><Relationship Type="http://schemas.openxmlformats.org/officeDocument/2006/relationships/hyperlink" Id="rId136" Target="ops:enum/resolution_type/nearly_unanimous" TargetMode="External" /><Relationship Type="http://schemas.openxmlformats.org/officeDocument/2006/relationships/hyperlink" Id="rId132" Target="ops:enum/resolution_type/noted" TargetMode="External" /><Relationship Type="http://schemas.openxmlformats.org/officeDocument/2006/relationships/hyperlink" Id="rId135" Target="ops:enum/resolution_type/orally_settled" TargetMode="External" /><Relationship Type="http://schemas.openxmlformats.org/officeDocument/2006/relationships/hyperlink" Id="rId137" Target="ops:enum/resolution_type/other" TargetMode="External" /><Relationship Type="http://schemas.openxmlformats.org/officeDocument/2006/relationships/hyperlink" Id="rId131"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158" Target="ops:enum/voting_type/final_vote" TargetMode="External" /><Relationship Type="http://schemas.openxmlformats.org/officeDocument/2006/relationships/hyperlink" Id="rId161" Target="ops:enum/voting_type/other" TargetMode="External" /><Relationship Type="http://schemas.openxmlformats.org/officeDocument/2006/relationships/hyperlink" Id="rId157" Target="ops:enum/voting_type/preliminary_vote" TargetMode="External" /><Relationship Type="http://schemas.openxmlformats.org/officeDocument/2006/relationships/hyperlink" Id="rId160" Target="ops:enum/voting_type/secret_vote" TargetMode="External" /><Relationship Type="http://schemas.openxmlformats.org/officeDocument/2006/relationships/hyperlink" Id="rId159"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1" Target="https://ch.paf.link/schema/operations/AgendaItemTypeEnum" TargetMode="External" /><Relationship Type="http://schemas.openxmlformats.org/officeDocument/2006/relationships/hyperlink" Id="rId239" Target="https://ch.paf.link/schema/operations/AttendanceTypeEnum" TargetMode="External" /><Relationship Type="http://schemas.openxmlformats.org/officeDocument/2006/relationships/hyperlink" Id="rId207" Target="https://ch.paf.link/schema/operations/ElectionTypeEnum" TargetMode="External" /><Relationship Type="http://schemas.openxmlformats.org/officeDocument/2006/relationships/hyperlink" Id="rId192" Target="https://ch.paf.link/schema/operations/IndividualVoteTypeEnum" TargetMode="External" /><Relationship Type="http://schemas.openxmlformats.org/officeDocument/2006/relationships/hyperlink" Id="rId165" Target="https://ch.paf.link/schema/operations/MajorityTypeEnum" TargetMode="External" /><Relationship Type="http://schemas.openxmlformats.org/officeDocument/2006/relationships/hyperlink" Id="rId129" Target="https://ch.paf.link/schema/operations/ResolutionTypeEnum" TargetMode="External" /><Relationship Type="http://schemas.openxmlformats.org/officeDocument/2006/relationships/hyperlink" Id="rId71" Target="https://ch.paf.link/schema/operations/StateEnum" TargetMode="External" /><Relationship Type="http://schemas.openxmlformats.org/officeDocument/2006/relationships/hyperlink" Id="rId156"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5" Target="https://github.com/swiss/political-affairs-ech-group/issues/24" TargetMode="External" /><Relationship Type="http://schemas.openxmlformats.org/officeDocument/2006/relationships/hyperlink" Id="rId336" Target="https://linkml.io" TargetMode="External" /><Relationship Type="http://schemas.openxmlformats.org/officeDocument/2006/relationships/hyperlink" Id="rId335" Target="https://www.dublincore.org/specifications/dublin-core/dcmi-terms/" TargetMode="External" /><Relationship Type="http://schemas.openxmlformats.org/officeDocument/2006/relationships/hyperlink" Id="rId329" Target="https://www.ech.ch/de/ech/ech-0292" TargetMode="External" /><Relationship Type="http://schemas.openxmlformats.org/officeDocument/2006/relationships/hyperlink" Id="rId330" Target="https://www.ech.ch/de/ech/ech-0294" TargetMode="External" /><Relationship Type="http://schemas.openxmlformats.org/officeDocument/2006/relationships/hyperlink" Id="rId331" Target="https://www.ech.ch/de/ech/ech-0295" TargetMode="External" /><Relationship Type="http://schemas.openxmlformats.org/officeDocument/2006/relationships/hyperlink" Id="rId332" Target="https://www.ech.ch/de/ech/ech-0296" TargetMode="External" /><Relationship Type="http://schemas.openxmlformats.org/officeDocument/2006/relationships/hyperlink" Id="rId333" Target="https://www.ech.ch/de/ech/ech-0297" TargetMode="External" /><Relationship Type="http://schemas.openxmlformats.org/officeDocument/2006/relationships/hyperlink" Id="rId103" Target="ops:enum/agenda_item_type/group" TargetMode="External" /><Relationship Type="http://schemas.openxmlformats.org/officeDocument/2006/relationships/hyperlink" Id="rId102" Target="ops:enum/agenda_item_type/item" TargetMode="External" /><Relationship Type="http://schemas.openxmlformats.org/officeDocument/2006/relationships/hyperlink" Id="rId242" Target="ops:enum/attendance_type/present" TargetMode="External" /><Relationship Type="http://schemas.openxmlformats.org/officeDocument/2006/relationships/hyperlink" Id="rId240" Target="ops:enum/attendance_type/remote" TargetMode="External" /><Relationship Type="http://schemas.openxmlformats.org/officeDocument/2006/relationships/hyperlink" Id="rId241" Target="ops:enum/attendance_type/substitute" TargetMode="External" /><Relationship Type="http://schemas.openxmlformats.org/officeDocument/2006/relationships/hyperlink" Id="rId209" Target="ops:enum/election_type/open" TargetMode="External" /><Relationship Type="http://schemas.openxmlformats.org/officeDocument/2006/relationships/hyperlink" Id="rId208" Target="ops:enum/election_type/secret" TargetMode="External" /><Relationship Type="http://schemas.openxmlformats.org/officeDocument/2006/relationships/hyperlink" Id="rId210" Target="ops:enum/election_type/silent" TargetMode="External" /><Relationship Type="http://schemas.openxmlformats.org/officeDocument/2006/relationships/hyperlink" Id="rId195" Target="ops:enum/individual_vote_type/abstention" TargetMode="External" /><Relationship Type="http://schemas.openxmlformats.org/officeDocument/2006/relationships/hyperlink" Id="rId194" Target="ops:enum/individual_vote_type/no" TargetMode="External" /><Relationship Type="http://schemas.openxmlformats.org/officeDocument/2006/relationships/hyperlink" Id="rId196" Target="ops:enum/individual_vote_type/not_voted" TargetMode="External" /><Relationship Type="http://schemas.openxmlformats.org/officeDocument/2006/relationships/hyperlink" Id="rId198" Target="ops:enum/individual_vote_type/other" TargetMode="External" /><Relationship Type="http://schemas.openxmlformats.org/officeDocument/2006/relationships/hyperlink" Id="rId197" Target="ops:enum/individual_vote_type/tie_breaker" TargetMode="External" /><Relationship Type="http://schemas.openxmlformats.org/officeDocument/2006/relationships/hyperlink" Id="rId193" Target="ops:enum/individual_vote_type/yes" TargetMode="External" /><Relationship Type="http://schemas.openxmlformats.org/officeDocument/2006/relationships/hyperlink" Id="rId166" Target="ops:enum/majority_type/absolute" TargetMode="External" /><Relationship Type="http://schemas.openxmlformats.org/officeDocument/2006/relationships/hyperlink" Id="rId168" Target="ops:enum/majority_type/other" TargetMode="External" /><Relationship Type="http://schemas.openxmlformats.org/officeDocument/2006/relationships/hyperlink" Id="rId167" Target="ops:enum/majority_type/two_thirds" TargetMode="External" /><Relationship Type="http://schemas.openxmlformats.org/officeDocument/2006/relationships/hyperlink" Id="rId130" Target="ops:enum/resolution_type/accepted" TargetMode="External" /><Relationship Type="http://schemas.openxmlformats.org/officeDocument/2006/relationships/hyperlink" Id="rId133" Target="ops:enum/resolution_type/accepted_point_by_point" TargetMode="External" /><Relationship Type="http://schemas.openxmlformats.org/officeDocument/2006/relationships/hyperlink" Id="rId134" Target="ops:enum/resolution_type/accepted_with_postulate" TargetMode="External" /><Relationship Type="http://schemas.openxmlformats.org/officeDocument/2006/relationships/hyperlink" Id="rId136" Target="ops:enum/resolution_type/nearly_unanimous" TargetMode="External" /><Relationship Type="http://schemas.openxmlformats.org/officeDocument/2006/relationships/hyperlink" Id="rId132" Target="ops:enum/resolution_type/noted" TargetMode="External" /><Relationship Type="http://schemas.openxmlformats.org/officeDocument/2006/relationships/hyperlink" Id="rId135" Target="ops:enum/resolution_type/orally_settled" TargetMode="External" /><Relationship Type="http://schemas.openxmlformats.org/officeDocument/2006/relationships/hyperlink" Id="rId137" Target="ops:enum/resolution_type/other" TargetMode="External" /><Relationship Type="http://schemas.openxmlformats.org/officeDocument/2006/relationships/hyperlink" Id="rId131" Target="ops:enum/resolution_type/rejected" TargetMode="External" /><Relationship Type="http://schemas.openxmlformats.org/officeDocument/2006/relationships/hyperlink" Id="rId73" Target="ops:enum/state/canceled" TargetMode="External" /><Relationship Type="http://schemas.openxmlformats.org/officeDocument/2006/relationships/hyperlink" Id="rId72" Target="ops:enum/state/planned" TargetMode="External" /><Relationship Type="http://schemas.openxmlformats.org/officeDocument/2006/relationships/hyperlink" Id="rId74" Target="ops:enum/state/postponed" TargetMode="External" /><Relationship Type="http://schemas.openxmlformats.org/officeDocument/2006/relationships/hyperlink" Id="rId158" Target="ops:enum/voting_type/final_vote" TargetMode="External" /><Relationship Type="http://schemas.openxmlformats.org/officeDocument/2006/relationships/hyperlink" Id="rId161" Target="ops:enum/voting_type/other" TargetMode="External" /><Relationship Type="http://schemas.openxmlformats.org/officeDocument/2006/relationships/hyperlink" Id="rId157" Target="ops:enum/voting_type/preliminary_vote" TargetMode="External" /><Relationship Type="http://schemas.openxmlformats.org/officeDocument/2006/relationships/hyperlink" Id="rId160" Target="ops:enum/voting_type/secret_vote" TargetMode="External" /><Relationship Type="http://schemas.openxmlformats.org/officeDocument/2006/relationships/hyperlink" Id="rId159"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2026-09-23T13:39:53Z</dcterms:created>
  <dcterms:modified xsi:type="dcterms:W3CDTF">2026-09-23T13:39:53Z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