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49"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Person-Schema beschreibt natürliche Personen im politischen Kontext mit dem Ziel, eine präzise und gleichzeitig flexible Datenstruktur bereitzustellen. Der Standard ermöglicht es, sowohl hochgradig strukturierte als auch offene Informationen zu erfassen, um unterschiedliche Datenqualitäten und Verfügbarkeiten abzubilden.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Verwendung von Wikidata-IDs und URIs als globale Identifikatoren</w:t>
      </w:r>
      <w:r>
        <w:t xml:space="preserve"> </w:t>
      </w:r>
      <w:r>
        <w:t xml:space="preserve">-</w:t>
      </w:r>
      <w:r>
        <w:t xml:space="preserve"> </w:t>
      </w:r>
      <w:r>
        <w:rPr>
          <w:bCs/>
          <w:b/>
        </w:rPr>
        <w:t xml:space="preserve">Mehrsprachigkeit</w:t>
      </w:r>
      <w:r>
        <w:t xml:space="preserve">: Unterstützung mehrsprachiger Inhalte gemäß Schweizer Anforderungen</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 eine hierarchische Identifikationsstrategie:</w:t>
      </w:r>
    </w:p>
    <w:p>
      <w:pPr>
        <w:numPr>
          <w:ilvl w:val="0"/>
          <w:numId w:val="1001"/>
        </w:numPr>
        <w:pStyle w:val="Compact"/>
      </w:pPr>
      <w:r>
        <w:rPr>
          <w:bCs/>
          <w:b/>
        </w:rPr>
        <w:t xml:space="preserve">Primärer Identifikator (</w:t>
      </w:r>
      <w:r>
        <w:rPr>
          <w:rStyle w:val="VerbatimChar"/>
          <w:bCs/>
          <w:b/>
        </w:rPr>
        <w:t xml:space="preserve">id</w:t>
      </w:r>
      <w:r>
        <w:rPr>
          <w:bCs/>
          <w:b/>
        </w:rPr>
        <w:t xml:space="preserve">)</w:t>
      </w:r>
      <w:r>
        <w:t xml:space="preserve">:</w:t>
      </w:r>
    </w:p>
    <w:p>
      <w:pPr>
        <w:numPr>
          <w:ilvl w:val="1"/>
          <w:numId w:val="1002"/>
        </w:numPr>
        <w:pStyle w:val="Compact"/>
      </w:pPr>
      <w:r>
        <w:rPr>
          <w:bCs/>
          <w:b/>
        </w:rPr>
        <w:t xml:space="preserve">Präferenz</w:t>
      </w:r>
      <w:r>
        <w:t xml:space="preserve">: Wikidata-ID (z.B.</w:t>
      </w:r>
      <w:r>
        <w:t xml:space="preserve"> </w:t>
      </w:r>
      <w:r>
        <w:rPr>
          <w:rStyle w:val="VerbatimChar"/>
        </w:rPr>
        <w:t xml:space="preserve">https://www.wikidata.org/wiki/Q813067</w:t>
      </w:r>
      <w:r>
        <w:t xml:space="preserve">)</w:t>
      </w:r>
    </w:p>
    <w:p>
      <w:pPr>
        <w:numPr>
          <w:ilvl w:val="1"/>
          <w:numId w:val="1002"/>
        </w:numPr>
        <w:pStyle w:val="Compact"/>
      </w:pPr>
      <w:r>
        <w:rPr>
          <w:bCs/>
          <w:b/>
        </w:rPr>
        <w:t xml:space="preserve">Alternative</w:t>
      </w:r>
      <w:r>
        <w:t xml:space="preserve">: Lokaler URI (z.B.</w:t>
      </w:r>
      <w:r>
        <w:t xml:space="preserve"> </w:t>
      </w:r>
      <w:r>
        <w:rPr>
          <w:rStyle w:val="VerbatimChar"/>
        </w:rPr>
        <w:t xml:space="preserve">act:person_12345</w:t>
      </w:r>
      <w:r>
        <w:t xml:space="preserve">)</w:t>
      </w:r>
    </w:p>
    <w:p>
      <w:pPr>
        <w:numPr>
          <w:ilvl w:val="1"/>
          <w:numId w:val="1002"/>
        </w:numPr>
        <w:pStyle w:val="Compact"/>
      </w:pPr>
      <w:r>
        <w:rPr>
          <w:bCs/>
          <w:b/>
        </w:rPr>
        <w:t xml:space="preserve">Anforderung</w:t>
      </w:r>
      <w:r>
        <w:t xml:space="preserve">: Eindeutig, persistent, global auflösbar (wenn möglich)</w:t>
      </w:r>
    </w:p>
    <w:p>
      <w:pPr>
        <w:numPr>
          <w:ilvl w:val="0"/>
          <w:numId w:val="1001"/>
        </w:numPr>
        <w:pStyle w:val="Compact"/>
      </w:pPr>
      <w:r>
        <w:rPr>
          <w:bCs/>
          <w:b/>
        </w:rPr>
        <w:t xml:space="preserve">Anzeigenamen</w:t>
      </w:r>
      <w:r>
        <w:t xml:space="preserve">:</w:t>
      </w:r>
    </w:p>
    <w:p>
      <w:pPr>
        <w:numPr>
          <w:ilvl w:val="1"/>
          <w:numId w:val="1003"/>
        </w:numPr>
        <w:pStyle w:val="Compact"/>
      </w:pPr>
      <w:r>
        <w:rPr>
          <w:rStyle w:val="VerbatimChar"/>
        </w:rPr>
        <w:t xml:space="preserve">label</w:t>
      </w:r>
      <w:r>
        <w:t xml:space="preserve">: Kurzer Anzeigename (z.B.</w:t>
      </w:r>
      <w:r>
        <w:t xml:space="preserve"> </w:t>
      </w:r>
      <w:r>
        <w:t xml:space="preserve">“</w:t>
      </w:r>
      <w:r>
        <w:t xml:space="preserve">Beat Jans</w:t>
      </w:r>
      <w:r>
        <w:t xml:space="preserve">”</w:t>
      </w:r>
      <w:r>
        <w:t xml:space="preserve">)</w:t>
      </w:r>
    </w:p>
    <w:p>
      <w:pPr>
        <w:numPr>
          <w:ilvl w:val="1"/>
          <w:numId w:val="1003"/>
        </w:numPr>
        <w:pStyle w:val="Compact"/>
      </w:pPr>
      <w:r>
        <w:rPr>
          <w:rStyle w:val="VerbatimChar"/>
        </w:rPr>
        <w:t xml:space="preserve">label_long</w:t>
      </w:r>
      <w:r>
        <w:t xml:space="preserve">: Erweiterter Anzeigename mit Titeln (z.B.</w:t>
      </w:r>
      <w:r>
        <w:t xml:space="preserve"> </w:t>
      </w:r>
      <w:r>
        <w:t xml:space="preserve">“</w:t>
      </w:r>
      <w:r>
        <w:t xml:space="preserve">Prof. Dr. iur. Andrea Caroni, MPA (Harvard)</w:t>
      </w:r>
      <w:r>
        <w:t xml:space="preserve">”</w:t>
      </w:r>
      <w:r>
        <w:t xml:space="preserve">)</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w:t>
      </w:r>
    </w:p>
    <w:p>
      <w:pPr>
        <w:numPr>
          <w:ilvl w:val="0"/>
          <w:numId w:val="1004"/>
        </w:numPr>
        <w:pStyle w:val="Compact"/>
      </w:pPr>
      <w:r>
        <w:rPr>
          <w:bCs/>
          <w:b/>
        </w:rPr>
        <w:t xml:space="preserve">Name</w:t>
      </w:r>
      <w:r>
        <w:t xml:space="preserve">: Namen können sich ändern (Heirat, Geschlechtsanpassung)</w:t>
      </w:r>
    </w:p>
    <w:p>
      <w:pPr>
        <w:numPr>
          <w:ilvl w:val="0"/>
          <w:numId w:val="1004"/>
        </w:numPr>
        <w:pStyle w:val="Compact"/>
      </w:pPr>
      <w:r>
        <w:rPr>
          <w:bCs/>
          <w:b/>
        </w:rPr>
        <w:t xml:space="preserve">Adresse</w:t>
      </w:r>
      <w:r>
        <w:t xml:space="preserve">: Wohn- und Geschäftsadressen ändern sich</w:t>
      </w:r>
    </w:p>
    <w:p>
      <w:pPr>
        <w:numPr>
          <w:ilvl w:val="0"/>
          <w:numId w:val="1004"/>
        </w:numPr>
        <w:pStyle w:val="Compact"/>
      </w:pPr>
      <w:r>
        <w:rPr>
          <w:bCs/>
          <w:b/>
        </w:rPr>
        <w:t xml:space="preserve">Geschlecht</w:t>
      </w:r>
      <w:r>
        <w:t xml:space="preserve">: Geschlechtsidentität kann sich entwickeln</w:t>
      </w:r>
    </w:p>
    <w:p>
      <w:pPr>
        <w:numPr>
          <w:ilvl w:val="0"/>
          <w:numId w:val="1004"/>
        </w:numPr>
        <w:pStyle w:val="Compact"/>
      </w:pPr>
      <w:r>
        <w:rPr>
          <w:bCs/>
          <w:b/>
        </w:rPr>
        <w:t xml:space="preserve">Staatsbürgerschaft</w:t>
      </w:r>
      <w:r>
        <w:t xml:space="preserve">: Mehrfache Staatsbürgerschaften mit unterschiedlichen Gültigkeitsperioden</w:t>
      </w:r>
    </w:p>
    <w:p>
      <w:pPr>
        <w:numPr>
          <w:ilvl w:val="0"/>
          <w:numId w:val="1004"/>
        </w:numPr>
        <w:pStyle w:val="Compact"/>
      </w:pPr>
      <w:r>
        <w:rPr>
          <w:bCs/>
          <w:b/>
        </w:rPr>
        <w:t xml:space="preserve">Beruf</w:t>
      </w:r>
      <w:r>
        <w:t xml:space="preserve">: Berufliche Tätigkeiten mit Start- und Enddatum</w:t>
      </w:r>
    </w:p>
    <w:p>
      <w:pPr>
        <w:numPr>
          <w:ilvl w:val="0"/>
          <w:numId w:val="1004"/>
        </w:numPr>
        <w:pStyle w:val="Compact"/>
      </w:pPr>
      <w:r>
        <w:rPr>
          <w:bCs/>
          <w:b/>
        </w:rPr>
        <w:t xml:space="preserve">Wahlkreis</w:t>
      </w:r>
      <w:r>
        <w:t xml:space="preserve">: Wahlkreis kann sich bei Neuwahlen ändern</w:t>
      </w:r>
    </w:p>
    <w:p>
      <w:pPr>
        <w:pStyle w:val="FirstParagraph"/>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2010-06-15</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5"/>
        </w:numPr>
        <w:pStyle w:val="Compact"/>
      </w:pPr>
      <w:r>
        <w:rPr>
          <w:rStyle w:val="VerbatimChar"/>
        </w:rPr>
        <w:t xml:space="preserve">language</w:t>
      </w:r>
      <w:r>
        <w:t xml:space="preserve">: ISO 639-1 Sprachcode (de, fr, it, rm, en)</w:t>
      </w:r>
    </w:p>
    <w:p>
      <w:pPr>
        <w:numPr>
          <w:ilvl w:val="0"/>
          <w:numId w:val="1005"/>
        </w:numPr>
        <w:pStyle w:val="Compact"/>
      </w:pPr>
      <w:r>
        <w:rPr>
          <w:rStyle w:val="VerbatimChar"/>
        </w:rPr>
        <w:t xml:space="preserve">correspondence</w:t>
      </w:r>
      <w:r>
        <w:t xml:space="preserve">: Bevorzugte Korrespondenzsprache</w:t>
      </w:r>
    </w:p>
    <w:p>
      <w:pPr>
        <w:numPr>
          <w:ilvl w:val="0"/>
          <w:numId w:val="1005"/>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6"/>
        </w:numPr>
        <w:pStyle w:val="Compact"/>
      </w:pPr>
      <w:r>
        <w:rPr>
          <w:rStyle w:val="VerbatimChar"/>
        </w:rPr>
        <w:t xml:space="preserve">value</w:t>
      </w:r>
      <w:r>
        <w:t xml:space="preserve">: Geschlechtscode (male, female, diverse, etc.)</w:t>
      </w:r>
    </w:p>
    <w:p>
      <w:pPr>
        <w:numPr>
          <w:ilvl w:val="0"/>
          <w:numId w:val="1006"/>
        </w:numPr>
        <w:pStyle w:val="Compact"/>
      </w:pPr>
      <w:r>
        <w:rPr>
          <w:rStyle w:val="VerbatimChar"/>
        </w:rPr>
        <w:t xml:space="preserve">pronouns</w:t>
      </w:r>
      <w:r>
        <w:t xml:space="preserve">: Bevorzugte Pronomen (mehrsprachig möglich)</w:t>
      </w:r>
    </w:p>
    <w:p>
      <w:pPr>
        <w:numPr>
          <w:ilvl w:val="0"/>
          <w:numId w:val="1006"/>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7"/>
        </w:numPr>
        <w:pStyle w:val="Compact"/>
      </w:pPr>
      <w:r>
        <w:rPr>
          <w:rStyle w:val="VerbatimChar"/>
        </w:rPr>
        <w:t xml:space="preserve">ch_citizenship</w:t>
      </w:r>
      <w:r>
        <w:t xml:space="preserve">: Schweizer Bürgerrecht (Validity-Objekt)</w:t>
      </w:r>
    </w:p>
    <w:p>
      <w:pPr>
        <w:numPr>
          <w:ilvl w:val="0"/>
          <w:numId w:val="1007"/>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8"/>
        </w:numPr>
        <w:pStyle w:val="Compact"/>
      </w:pPr>
      <w:r>
        <w:rPr>
          <w:rStyle w:val="VerbatimChar"/>
        </w:rPr>
        <w:t xml:space="preserve">occupation_isco19_code</w:t>
      </w:r>
      <w:r>
        <w:t xml:space="preserve">: ISCO-19 Berufsklassifikation</w:t>
      </w:r>
    </w:p>
    <w:p>
      <w:pPr>
        <w:numPr>
          <w:ilvl w:val="0"/>
          <w:numId w:val="1008"/>
        </w:numPr>
        <w:pStyle w:val="Compact"/>
      </w:pPr>
      <w:r>
        <w:rPr>
          <w:rStyle w:val="VerbatimChar"/>
        </w:rPr>
        <w:t xml:space="preserve">enterprise_uid</w:t>
      </w:r>
      <w:r>
        <w:t xml:space="preserve">: UID-Nummer des Unternehmens (eCH-0097)</w:t>
      </w:r>
    </w:p>
    <w:p>
      <w:pPr>
        <w:numPr>
          <w:ilvl w:val="0"/>
          <w:numId w:val="1008"/>
        </w:numPr>
        <w:pStyle w:val="Compact"/>
      </w:pPr>
      <w:r>
        <w:rPr>
          <w:rStyle w:val="VerbatimChar"/>
        </w:rPr>
        <w:t xml:space="preserve">active</w:t>
      </w:r>
      <w:r>
        <w:t xml:space="preserve">: Aktuelle Tätigkeit</w:t>
      </w:r>
    </w:p>
    <w:p>
      <w:pPr>
        <w:numPr>
          <w:ilvl w:val="0"/>
          <w:numId w:val="1008"/>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9"/>
        </w:numPr>
        <w:pStyle w:val="Compact"/>
      </w:pPr>
      <w:r>
        <w:rPr>
          <w:bCs/>
          <w:b/>
        </w:rPr>
        <w:t xml:space="preserve">Wikidata</w:t>
      </w:r>
      <w:r>
        <w:t xml:space="preserve">: Primäre Quelle für Personen-IDs</w:t>
      </w:r>
    </w:p>
    <w:p>
      <w:pPr>
        <w:numPr>
          <w:ilvl w:val="0"/>
          <w:numId w:val="1009"/>
        </w:numPr>
        <w:pStyle w:val="Compact"/>
      </w:pPr>
      <w:r>
        <w:rPr>
          <w:bCs/>
          <w:b/>
        </w:rPr>
        <w:t xml:space="preserve">eCH-0285</w:t>
      </w:r>
      <w:r>
        <w:t xml:space="preserve">: Kompatibilität mit eCH-Standard für semantische Identifikatoren</w:t>
      </w:r>
    </w:p>
    <w:p>
      <w:pPr>
        <w:numPr>
          <w:ilvl w:val="0"/>
          <w:numId w:val="1009"/>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63"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0">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10"/>
        </w:numPr>
        <w:pStyle w:val="Compact"/>
      </w:pPr>
      <w:r>
        <w:t xml:space="preserve">from schema: https://ch.paf.link/schema/actors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linkml-source"/>
    <w:p>
      <w:pPr>
        <w:pStyle w:val="Heading2"/>
      </w:pPr>
      <w:r>
        <w:t xml:space="preserve">LinkML Source</w:t>
      </w:r>
    </w:p>
    <w:bookmarkStart w:id="5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6"/>
    <w:bookmarkStart w:id="5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7"/>
    <w:bookmarkEnd w:id="58"/>
    <w:bookmarkStart w:id="59" w:name="memberships"/>
    <w:p>
      <w:pPr>
        <w:pStyle w:val="Heading2"/>
      </w:pPr>
      <w:r>
        <w:t xml:space="preserve">Memberships</w:t>
      </w:r>
    </w:p>
    <w:p>
      <w:pPr>
        <w:numPr>
          <w:ilvl w:val="0"/>
          <w:numId w:val="1011"/>
        </w:numPr>
        <w:pStyle w:val="Compact"/>
      </w:pPr>
      <w:r>
        <w:t xml:space="preserve">ID Person</w:t>
      </w:r>
    </w:p>
    <w:p>
      <w:pPr>
        <w:numPr>
          <w:ilvl w:val="0"/>
          <w:numId w:val="1011"/>
        </w:numPr>
        <w:pStyle w:val="Compact"/>
      </w:pPr>
      <w:r>
        <w:t xml:space="preserve">Role</w:t>
      </w:r>
    </w:p>
    <w:p>
      <w:pPr>
        <w:numPr>
          <w:ilvl w:val="0"/>
          <w:numId w:val="1011"/>
        </w:numPr>
        <w:pStyle w:val="Compact"/>
      </w:pPr>
      <w:r>
        <w:t xml:space="preserve">ID Group</w:t>
      </w:r>
    </w:p>
    <w:p>
      <w:pPr>
        <w:numPr>
          <w:ilvl w:val="0"/>
          <w:numId w:val="1011"/>
        </w:numPr>
        <w:pStyle w:val="Compact"/>
      </w:pPr>
      <w:r>
        <w:t xml:space="preserve">validFrom</w:t>
      </w:r>
    </w:p>
    <w:p>
      <w:pPr>
        <w:numPr>
          <w:ilvl w:val="0"/>
          <w:numId w:val="1011"/>
        </w:numPr>
        <w:pStyle w:val="Compact"/>
      </w:pPr>
      <w:r>
        <w:t xml:space="preserve">validUntil</w:t>
      </w:r>
    </w:p>
    <w:p>
      <w:pPr>
        <w:numPr>
          <w:ilvl w:val="0"/>
          <w:numId w:val="1011"/>
        </w:numPr>
        <w:pStyle w:val="Compact"/>
      </w:pPr>
      <w:r>
        <w:t xml:space="preserve">isActive (als Alternateive zu validFrom and validUntil)</w:t>
      </w:r>
    </w:p>
    <w:p>
      <w:pPr>
        <w:numPr>
          <w:ilvl w:val="0"/>
          <w:numId w:val="1011"/>
        </w:numPr>
        <w:pStyle w:val="Compact"/>
      </w:pPr>
      <w:r>
        <w:t xml:space="preserve">authorized_to_vote</w:t>
      </w:r>
    </w:p>
    <w:bookmarkEnd w:id="59"/>
    <w:bookmarkStart w:id="62" w:name="section"/>
    <w:p>
      <w:pPr>
        <w:pStyle w:val="Heading2"/>
      </w:pPr>
    </w:p>
    <w:p>
      <w:pPr>
        <w:numPr>
          <w:ilvl w:val="0"/>
          <w:numId w:val="1012"/>
        </w:numPr>
        <w:pStyle w:val="Compact"/>
      </w:pPr>
      <w:r>
        <w:t xml:space="preserve">Überlegungen zu Datenschutz / Öffentlichkeitsrecht (Christian schaut sich das an).</w:t>
      </w:r>
    </w:p>
    <w:p>
      <w:pPr>
        <w:numPr>
          <w:ilvl w:val="1"/>
          <w:numId w:val="1013"/>
        </w:numPr>
      </w:pPr>
      <w:r>
        <w:t xml:space="preserve">ein Kapitel mit Analyse des IST Zustands / Rechtsgrundlage oder Toolkit ?</w:t>
      </w:r>
    </w:p>
    <w:p>
      <w:pPr>
        <w:numPr>
          <w:ilvl w:val="1"/>
          <w:numId w:val="1013"/>
        </w:numPr>
      </w:pPr>
      <w:r>
        <w:t xml:space="preserve">Abklärung was ist rechtlich erlaubt.</w:t>
      </w:r>
    </w:p>
    <w:p>
      <w:pPr>
        <w:numPr>
          <w:ilvl w:val="1"/>
          <w:numId w:val="1013"/>
        </w:numPr>
      </w:pPr>
      <w:r>
        <w:t xml:space="preserve">Was wäre ethisch verantwortbar.</w:t>
      </w:r>
    </w:p>
    <w:p>
      <w:pPr>
        <w:numPr>
          <w:ilvl w:val="1"/>
          <w:numId w:val="1013"/>
        </w:numPr>
      </w:pPr>
      <w:r>
        <w:t xml:space="preserve">Personen des öffentlichen Interesses.</w:t>
      </w:r>
    </w:p>
    <w:p>
      <w:pPr>
        <w:numPr>
          <w:ilvl w:val="1"/>
          <w:numId w:val="1013"/>
        </w:numPr>
      </w:pPr>
      <w:hyperlink r:id="rId60">
        <w:r>
          <w:rPr>
            <w:rStyle w:val="Hyperlink"/>
          </w:rPr>
          <w:t xml:space="preserve">Ersetzung der privaten Wohnadresse als Identifikator der Urheber von Volksinitiativen</w:t>
        </w:r>
      </w:hyperlink>
    </w:p>
    <w:p>
      <w:pPr>
        <w:numPr>
          <w:ilvl w:val="1"/>
          <w:numId w:val="1013"/>
        </w:numPr>
      </w:pPr>
      <w:hyperlink r:id="rId61">
        <w:r>
          <w:rPr>
            <w:rStyle w:val="Hyperlink"/>
          </w:rPr>
          <w:t xml:space="preserve">Verhinderung der Pflicht zur Veröffentlichung der Wohnadressen von Parlamentsmitgliedern</w:t>
        </w:r>
      </w:hyperlink>
    </w:p>
    <w:bookmarkEnd w:id="62"/>
    <w:bookmarkEnd w:id="63"/>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50" Target="https://ch.paf.link/schema/actors/Person" TargetMode="External" /><Relationship Type="http://schemas.openxmlformats.org/officeDocument/2006/relationships/hyperlink" Id="rId61" Target="https://www.parlament.ch/de/ratsbetrieb/suche-curia-vista/geschaeft?AffairId=20233913" TargetMode="External" /><Relationship Type="http://schemas.openxmlformats.org/officeDocument/2006/relationships/hyperlink" Id="rId60" Target="https://www.parlament.ch/de/ratsbetrieb/suche-curia-vista/geschaeft?AffairId=20243425"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ch.paf.link/schema/actors/Person" TargetMode="External" /><Relationship Type="http://schemas.openxmlformats.org/officeDocument/2006/relationships/hyperlink" Id="rId61" Target="https://www.parlament.ch/de/ratsbetrieb/suche-curia-vista/geschaeft?AffairId=20233913" TargetMode="External" /><Relationship Type="http://schemas.openxmlformats.org/officeDocument/2006/relationships/hyperlink" Id="rId60" Target="https://www.parlament.ch/de/ratsbetrieb/suche-curia-vista/geschaeft?AffairId=20243425"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2026-02-04T13:06:00Z</dcterms:created>
  <dcterms:modified xsi:type="dcterms:W3CDTF">2026-02-04T13:06:00Z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