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Fachgruppe</w:t>
            </w:r>
          </w:p>
        </w:tc>
        <w:tc>
          <w:tcPr/>
          <w:p>
            <w:pPr>
              <w:pStyle w:val="Compact"/>
            </w:pPr>
            <w:r>
              <w:t xml:space="preserve">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zusammenfassung"/>
    <w:p>
      <w:pPr>
        <w:pStyle w:val="Nebentitel"/>
      </w:pPr>
      <w:r>
        <w:t xml:space="preserve">Zusammenfassung</w:t>
      </w:r>
    </w:p>
    <w:bookmarkEnd w:id="21"/>
    <w:p>
      <w:pPr>
        <w:pStyle w:val="Textkrper"/>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Start w:id="22" w:name="inhaltsverzeichnis"/>
    <w:p>
      <w:pPr>
        <w:pStyle w:val="Nebentitel"/>
      </w:pPr>
      <w:r>
        <w:t xml:space="preserve">Inhaltsverzeichnis</w:t>
      </w:r>
    </w:p>
    <w:bookmarkEnd w:id="22"/>
    <w:p>
      <w:r>
        <w:fldChar w:fldCharType="begin" w:dirty="true"/>
      </w:r>
      <w:r>
        <w:instrText xml:space="preserve"> TOC \o "1-2" \h \z \u </w:instrText>
      </w:r>
      <w:r>
        <w:fldChar w:fldCharType="separate"/>
      </w:r>
      <w:r>
        <w:t>Rechtsklick &gt; „Felder aktualisieren“, um das Inhaltsverzeichnis zu erzeugen.</w:t>
      </w:r>
      <w:r>
        <w:fldChar w:fldCharType="end"/>
      </w:r>
    </w:p>
    <w:bookmarkStart w:id="23" w:name="hinweis"/>
    <w:p>
      <w:pPr>
        <w:pStyle w:val="Nebentitel"/>
      </w:pPr>
      <w:r>
        <w:t xml:space="preserve">Hinweis</w:t>
      </w:r>
    </w:p>
    <w:bookmarkEnd w:id="23"/>
    <w:p>
      <w:pPr>
        <w:pStyle w:val="Textkrper"/>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p>
      <w:r>
        <w:br w:type="page"/>
      </w:r>
    </w:p>
    <w:bookmarkStart w:id="29" w:name="einleitung"/>
    <w:p>
      <w:pPr>
        <w:pStyle w:val="berschrift1"/>
      </w:pPr>
      <w:r>
        <w:t xml:space="preserve">Einleitung</w:t>
      </w:r>
    </w:p>
    <w:bookmarkStart w:id="24" w:name="status"/>
    <w:p>
      <w:pPr>
        <w:pStyle w:val="berschrift2"/>
      </w:pPr>
      <w:r>
        <w:t xml:space="preserve">Status</w:t>
      </w:r>
    </w:p>
    <w:p>
      <w:pPr>
        <w:pStyle w:val="FirstParagraph"/>
      </w:pPr>
      <w:r>
        <w:t xml:space="preserve">Vorschlag</w:t>
      </w:r>
    </w:p>
    <w:bookmarkEnd w:id="24"/>
    <w:bookmarkStart w:id="25" w:name="anwendungsgebiet"/>
    <w:p>
      <w:pPr>
        <w:pStyle w:val="berschrift2"/>
      </w:pPr>
      <w:r>
        <w:t xml:space="preserve">Anwendungsgebiet</w:t>
      </w:r>
    </w:p>
    <w:p>
      <w:pPr>
        <w:pStyle w:val="FirstParagraph"/>
      </w:pPr>
      <w:r>
        <w:t xml:space="preserve">Der Standard regelt die Publikation von Daten über politische Akteurinnen und Akteure durch die Stellen, die sie heute schon führen: Parlamentsdienste, Staatskanzleien und Gemeindeverwaltungen aller Staatsebenen. Er deckt insbesondere folgende Anwendungsfälle ab:</w:t>
      </w:r>
    </w:p>
    <w:p>
      <w:pPr>
        <w:pStyle w:val="Compact"/>
        <w:numPr>
          <w:ilvl w:val="0"/>
          <w:numId w:val="1001"/>
        </w:numPr>
      </w:pPr>
      <w:r>
        <w:t xml:space="preserve">Publikation der Mitglieder von Parlamenten, Regierungen und Kommissionen mit ihren Mitgliedschaften, Funktionen und Amtsdauern</w:t>
      </w:r>
    </w:p>
    <w:p>
      <w:pPr>
        <w:pStyle w:val="Compact"/>
        <w:numPr>
          <w:ilvl w:val="0"/>
          <w:numId w:val="1001"/>
        </w:numPr>
      </w:pPr>
      <w:r>
        <w:t xml:space="preserve">Publikation der Register der Interessenbindungen von Parlamentsmitgliedern</w:t>
      </w:r>
    </w:p>
    <w:p>
      <w:pPr>
        <w:pStyle w:val="Compact"/>
        <w:numPr>
          <w:ilvl w:val="0"/>
          <w:numId w:val="1001"/>
        </w:numPr>
      </w:pPr>
      <w:r>
        <w:t xml:space="preserve">Referenzierung von Personen, Gruppen und Organen aus den übrigen Standards der Familie „Politische Geschäfte”, etwa für Wortmeldungen und Abstimmungen im Ratsbetrieb (eCH-0293) oder für die Urheberschaft parlamentarischer Geschäfte (eCH-0295)</w:t>
      </w:r>
    </w:p>
    <w:p>
      <w:pPr>
        <w:pStyle w:val="Compact"/>
        <w:numPr>
          <w:ilvl w:val="0"/>
          <w:numId w:val="1001"/>
        </w:numPr>
      </w:pPr>
      <w:r>
        <w:t xml:space="preserve">Nachnutzung dieser Daten durch Medien, Forschung und Öffentlichkeit, über Staatsebenen hinweg vergleichbar</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2"/>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2"/>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2"/>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2"/>
        </w:numPr>
      </w:pPr>
      <w:r>
        <w:rPr>
          <w:b/>
          <w:bCs/>
        </w:rPr>
        <w:t xml:space="preserve">eCH-0295 – Parlamentarische Geschäfte (Affairs):</w:t>
      </w:r>
      <w:r>
        <w:t xml:space="preserve"> </w:t>
      </w:r>
      <w:r>
        <w:t xml:space="preserve">Beschreibt den Lebenszyklus politischer Geschäfte.</w:t>
      </w:r>
    </w:p>
    <w:p>
      <w:pPr>
        <w:pStyle w:val="Compact"/>
        <w:numPr>
          <w:ilvl w:val="0"/>
          <w:numId w:val="1002"/>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2"/>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3"/>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3"/>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4"/>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4"/>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7"/>
    <w:bookmarkStart w:id="28"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5"/>
        </w:numPr>
      </w:pPr>
      <w:r>
        <w:rPr>
          <w:b/>
          <w:bCs/>
        </w:rPr>
        <w:t xml:space="preserve">Person</w:t>
      </w:r>
      <w:r>
        <w:t xml:space="preserve"> </w:t>
      </w:r>
      <w:r>
        <w:t xml:space="preserve">– Natürliche Personen im politischen Kontext</w:t>
      </w:r>
    </w:p>
    <w:p>
      <w:pPr>
        <w:pStyle w:val="Compact"/>
        <w:numPr>
          <w:ilvl w:val="0"/>
          <w:numId w:val="1005"/>
        </w:numPr>
      </w:pPr>
      <w:r>
        <w:rPr>
          <w:b/>
          <w:bCs/>
        </w:rPr>
        <w:t xml:space="preserve">Group</w:t>
      </w:r>
      <w:r>
        <w:t xml:space="preserve"> </w:t>
      </w:r>
      <w:r>
        <w:t xml:space="preserve">– Gremien, Parteien, Fraktionen, Räte, Kommissionen, Organisationen etc.</w:t>
      </w:r>
    </w:p>
    <w:p>
      <w:pPr>
        <w:pStyle w:val="Compact"/>
        <w:numPr>
          <w:ilvl w:val="0"/>
          <w:numId w:val="1005"/>
        </w:numPr>
      </w:pPr>
      <w:r>
        <w:rPr>
          <w:b/>
          <w:bCs/>
        </w:rPr>
        <w:t xml:space="preserve">Membership</w:t>
      </w:r>
      <w:r>
        <w:t xml:space="preserve"> </w:t>
      </w:r>
      <w:r>
        <w:t xml:space="preserve">– Verbindung zwischen Personen und Gruppen</w:t>
      </w:r>
    </w:p>
    <w:p>
      <w:pPr>
        <w:pStyle w:val="Compact"/>
        <w:numPr>
          <w:ilvl w:val="0"/>
          <w:numId w:val="1005"/>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8"/>
    <w:bookmarkEnd w:id="29"/>
    <w:bookmarkStart w:id="13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6"/>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6"/>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6"/>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30">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31">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6"/>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6"/>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6"/>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6"/>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42" w:name="klasse-person"/>
    <w:p>
      <w:pPr>
        <w:pStyle w:val="berschrift2"/>
      </w:pPr>
      <w:r>
        <w:t xml:space="preserve">Klasse: Person</w:t>
      </w:r>
      <w:r>
        <w:t xml:space="preserve"> </w:t>
      </w:r>
      <w:bookmarkStart w:id="32" w:name="Person"/>
      <w:bookmarkEnd w:id="32"/>
    </w:p>
    <w:p>
      <w:pPr>
        <w:pStyle w:val="FirstParagraph"/>
      </w:pPr>
      <w:r>
        <w:rPr>
          <w:i/>
          <w:iCs/>
        </w:rPr>
        <w:t xml:space="preserve">Eine Person mit Identifikatoren, Namen, Adressen, Staatsbürgerschaften und Berufen.</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p>
      <w:pPr>
        <w:pStyle w:val="Beschriftung"/>
      </w:pPr>
      <w:r>
        <w:t xml:space="preserve">Tabelle</w:t>
      </w:r>
      <w:r>
        <w:t xml:space="preserve"> </w:t>
      </w:r>
      <w:fldSimple w:instr=" SEQ Tabelle \* ARABIC ">
        <w:r>
          <w:t>1</w:t>
        </w:r>
      </w:fldSimple>
      <w:r>
        <w:t xml:space="preserve">: Person – Attribute</w:t>
      </w:r>
    </w:p>
    <w:bookmarkEnd w:id="33"/>
    <w:bookmarkStart w:id="34"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Tabelle</w:t>
      </w:r>
      <w:r>
        <w:t xml:space="preserve"> </w:t>
      </w:r>
      <w:fldSimple w:instr=" SEQ Tabelle \* ARABIC ">
        <w:r>
          <w:t>1</w:t>
        </w:r>
      </w:fldSimple>
      <w:r>
        <w:t xml:space="preserve">: Person – Verwendungen</w:t>
      </w:r>
    </w:p>
    <w:bookmarkEnd w:id="34"/>
    <w:bookmarkStart w:id="41" w:name="beispiele"/>
    <w:p>
      <w:pPr>
        <w:pStyle w:val="berschrift3"/>
      </w:pPr>
      <w:r>
        <w:t xml:space="preserve">Beispiele</w:t>
      </w:r>
    </w:p>
    <w:bookmarkStart w:id="35"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7"/>
    <w:bookmarkStart w:id="38"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8"/>
    <w:bookmarkStart w:id="39"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9"/>
    <w:bookmarkStart w:id="40"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klasse-name"/>
    <w:p>
      <w:pPr>
        <w:pStyle w:val="berschrift2"/>
      </w:pPr>
      <w:r>
        <w:t xml:space="preserve">Klasse: Name</w:t>
      </w:r>
      <w:r>
        <w:t xml:space="preserve"> </w:t>
      </w:r>
      <w:bookmarkStart w:id="43" w:name="Name"/>
      <w:bookmarkEnd w:id="43"/>
    </w:p>
    <w:p>
      <w:pPr>
        <w:pStyle w:val="FirstParagraph"/>
      </w:pPr>
      <w:r>
        <w:rPr>
          <w:i/>
          <w:iCs/>
        </w:rPr>
        <w:t xml:space="preserve">Ein Name mit einem Typ (z.B. Rufname, amtlicher Name) und einem Wert und einer zeitlichen Gültigkeit.</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Name – Attribute</w:t>
      </w:r>
    </w:p>
    <w:bookmarkEnd w:id="44"/>
    <w:bookmarkStart w:id="45"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Tabelle</w:t>
      </w:r>
      <w:r>
        <w:t xml:space="preserve"> </w:t>
      </w:r>
      <w:fldSimple w:instr=" SEQ Tabelle \* ARABIC ">
        <w:r>
          <w:t>1</w:t>
        </w:r>
      </w:fldSimple>
      <w:r>
        <w:t xml:space="preserve">: Name – Verwendungen</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8">
        <w:r>
          <w:rPr>
            <w:rStyle w:val="Hyperlink"/>
          </w:rPr>
          <w:t xml:space="preserve">act:NameTypeEnum</w:t>
        </w:r>
      </w:hyperlink>
    </w:p>
    <w:bookmarkStart w:id="60"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Tabelle</w:t>
      </w:r>
      <w:r>
        <w:t xml:space="preserve"> </w:t>
      </w:r>
      <w:fldSimple w:instr=" SEQ Tabelle \* ARABIC ">
        <w:r>
          <w:t>1</w:t>
        </w:r>
      </w:fldSimple>
      <w:r>
        <w:t xml:space="preserve">: NameTypeEnum – Zulässige Werte</w:t>
      </w:r>
    </w:p>
    <w:bookmarkEnd w:id="60"/>
    <w:bookmarkEnd w:id="61"/>
    <w:bookmarkStart w:id="65" w:name="klasse-languageproficiency"/>
    <w:p>
      <w:pPr>
        <w:pStyle w:val="berschrift2"/>
      </w:pPr>
      <w:r>
        <w:t xml:space="preserve">Klasse: LanguageProficiency</w:t>
      </w:r>
      <w:r>
        <w:t xml:space="preserve"> </w:t>
      </w:r>
      <w:bookmarkStart w:id="62" w:name="LanguageProficiency"/>
      <w:bookmarkEnd w:id="62"/>
    </w:p>
    <w:p>
      <w:pPr>
        <w:pStyle w:val="FirstParagraph"/>
      </w:pPr>
      <w:r>
        <w:rPr>
          <w:i/>
          <w:iCs/>
        </w:rPr>
        <w:t xml:space="preserve">Sprachkenntnisse einer Person mit Angabe der Sprache und ob es sich um die bevorzugte Sprache oder die Muttersprache handelt.</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p>
      <w:pPr>
        <w:pStyle w:val="Beschriftung"/>
      </w:pPr>
      <w:r>
        <w:t xml:space="preserve">Tabelle</w:t>
      </w:r>
      <w:r>
        <w:t xml:space="preserve"> </w:t>
      </w:r>
      <w:fldSimple w:instr=" SEQ Tabelle \* ARABIC ">
        <w:r>
          <w:t>1</w:t>
        </w:r>
      </w:fldSimple>
      <w:r>
        <w:t xml:space="preserve">: LanguageProficiency – Attribute</w:t>
      </w:r>
    </w:p>
    <w:bookmarkEnd w:id="63"/>
    <w:bookmarkStart w:id="6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Tabelle</w:t>
      </w:r>
      <w:r>
        <w:t xml:space="preserve"> </w:t>
      </w:r>
      <w:fldSimple w:instr=" SEQ Tabelle \* ARABIC ">
        <w:r>
          <w:t>1</w:t>
        </w:r>
      </w:fldSimple>
      <w:r>
        <w:t xml:space="preserve">: LanguageProficiency – Verwendungen</w:t>
      </w:r>
    </w:p>
    <w:bookmarkEnd w:id="64"/>
    <w:bookmarkEnd w:id="65"/>
    <w:bookmarkStart w:id="69" w:name="klasse-citizenship"/>
    <w:p>
      <w:pPr>
        <w:pStyle w:val="berschrift2"/>
      </w:pPr>
      <w:r>
        <w:t xml:space="preserve">Klasse: Citizenship</w:t>
      </w:r>
      <w:r>
        <w:t xml:space="preserve"> </w:t>
      </w:r>
      <w:bookmarkStart w:id="66" w:name="Citizenship"/>
      <w:bookmarkEnd w:id="66"/>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Citizenship – Attribute</w:t>
      </w:r>
    </w:p>
    <w:bookmarkEnd w:id="67"/>
    <w:bookmarkStart w:id="68"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Tabelle</w:t>
      </w:r>
      <w:r>
        <w:t xml:space="preserve"> </w:t>
      </w:r>
      <w:fldSimple w:instr=" SEQ Tabelle \* ARABIC ">
        <w:r>
          <w:t>1</w:t>
        </w:r>
      </w:fldSimple>
      <w:r>
        <w:t xml:space="preserve">: Citizenship – Verwendungen</w:t>
      </w:r>
    </w:p>
    <w:bookmarkEnd w:id="68"/>
    <w:bookmarkEnd w:id="69"/>
    <w:bookmarkStart w:id="73" w:name="klasse-gender"/>
    <w:p>
      <w:pPr>
        <w:pStyle w:val="berschrift2"/>
      </w:pPr>
      <w:r>
        <w:t xml:space="preserve">Klasse: Gender</w:t>
      </w:r>
      <w:r>
        <w:t xml:space="preserve"> </w:t>
      </w:r>
      <w:bookmarkStart w:id="70" w:name="Gender"/>
      <w:bookmarkEnd w:id="70"/>
    </w:p>
    <w:p>
      <w:pPr>
        <w:pStyle w:val="FirstParagraph"/>
      </w:pPr>
      <w:r>
        <w:rPr>
          <w:i/>
          <w:iCs/>
        </w:rPr>
        <w:t xml:space="preserve">Geschlecht einer Person mit Angabe eines Geschlechtscodes und der zeitlichen Gültigkeit.</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Gender – Attribute</w:t>
      </w:r>
    </w:p>
    <w:bookmarkEnd w:id="71"/>
    <w:bookmarkStart w:id="72"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Tabelle</w:t>
      </w:r>
      <w:r>
        <w:t xml:space="preserve"> </w:t>
      </w:r>
      <w:fldSimple w:instr=" SEQ Tabelle \* ARABIC ">
        <w:r>
          <w:t>1</w:t>
        </w:r>
      </w:fldSimple>
      <w:r>
        <w:t xml:space="preserve">: Gender – Verwendungen</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5">
        <w:r>
          <w:rPr>
            <w:rStyle w:val="Hyperlink"/>
          </w:rPr>
          <w:t xml:space="preserve">act:GenderCodeEnum</w:t>
        </w:r>
      </w:hyperlink>
    </w:p>
    <w:bookmarkStart w:id="7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p>
      <w:pPr>
        <w:pStyle w:val="Beschriftung"/>
      </w:pPr>
      <w:r>
        <w:t xml:space="preserve">Tabelle</w:t>
      </w:r>
      <w:r>
        <w:t xml:space="preserve"> </w:t>
      </w:r>
      <w:fldSimple w:instr=" SEQ Tabelle \* ARABIC ">
        <w:r>
          <w:t>1</w:t>
        </w:r>
      </w:fldSimple>
      <w:r>
        <w:t xml:space="preserve">: GenderCodeEnum – Zulässige Werte</w:t>
      </w:r>
    </w:p>
    <w:bookmarkEnd w:id="78"/>
    <w:bookmarkEnd w:id="79"/>
    <w:bookmarkStart w:id="87" w:name="klasse-occupation"/>
    <w:p>
      <w:pPr>
        <w:pStyle w:val="berschrift2"/>
      </w:pPr>
      <w:r>
        <w:t xml:space="preserve">Klasse: Occupation</w:t>
      </w:r>
      <w:r>
        <w:t xml:space="preserve"> </w:t>
      </w:r>
      <w:bookmarkStart w:id="80" w:name="Occupation"/>
      <w:bookmarkEnd w:id="80"/>
    </w:p>
    <w:p>
      <w:pPr>
        <w:pStyle w:val="FirstParagraph"/>
      </w:pPr>
      <w:r>
        <w:rPr>
          <w:i/>
          <w:iCs/>
        </w:rPr>
        <w:t xml:space="preserve">Beruf oder Tätigkeit einer Person mit Angabe eines Labels, eines ISCO-19 Codes, ob die Tätigkeit bezahlt ist, und der zeitlichen Gültigkeit.</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Occupation – Attribute</w:t>
      </w:r>
    </w:p>
    <w:bookmarkStart w:id="8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Tabelle</w:t>
      </w:r>
      <w:r>
        <w:t xml:space="preserve"> </w:t>
      </w:r>
      <w:fldSimple w:instr=" SEQ Tabelle \* ARABIC ">
        <w:r>
          <w:t>1</w:t>
        </w:r>
      </w:fldSimple>
      <w:r>
        <w:t xml:space="preserve">: Occupation – Verwendungen</w:t>
      </w:r>
    </w:p>
    <w:bookmarkEnd w:id="83"/>
    <w:bookmarkStart w:id="86" w:name="beispiele-1"/>
    <w:p>
      <w:pPr>
        <w:pStyle w:val="berschrift3"/>
      </w:pPr>
      <w:r>
        <w:t xml:space="preserve">Beispiele</w:t>
      </w:r>
    </w:p>
    <w:bookmarkStart w:id="84"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klasse-training"/>
    <w:p>
      <w:pPr>
        <w:pStyle w:val="berschrift2"/>
      </w:pPr>
      <w:r>
        <w:t xml:space="preserve">Klasse: Training</w:t>
      </w:r>
      <w:r>
        <w:t xml:space="preserve"> </w:t>
      </w:r>
      <w:bookmarkStart w:id="88" w:name="Training"/>
      <w:bookmarkEnd w:id="88"/>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Training – Attribute</w:t>
      </w:r>
    </w:p>
    <w:bookmarkStart w:id="89"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Tabelle</w:t>
      </w:r>
      <w:r>
        <w:t xml:space="preserve"> </w:t>
      </w:r>
      <w:fldSimple w:instr=" SEQ Tabelle \* ARABIC ">
        <w:r>
          <w:t>1</w:t>
        </w:r>
      </w:fldSimple>
      <w:r>
        <w:t xml:space="preserve">: Training – Verwendungen</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4">
        <w:r>
          <w:rPr>
            <w:rStyle w:val="Hyperlink"/>
          </w:rPr>
          <w:t xml:space="preserve">act:TrainingTypeEnum</w:t>
        </w:r>
      </w:hyperlink>
    </w:p>
    <w:bookmarkStart w:id="137"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p>
      <w:pPr>
        <w:pStyle w:val="Beschriftung"/>
      </w:pPr>
      <w:r>
        <w:t xml:space="preserve">Tabelle</w:t>
      </w:r>
      <w:r>
        <w:t xml:space="preserve"> </w:t>
      </w:r>
      <w:fldSimple w:instr=" SEQ Tabelle \* ARABIC ">
        <w:r>
          <w:t>1</w:t>
        </w:r>
      </w:fldSimple>
      <w:r>
        <w:t xml:space="preserve">: TrainingTypeEnum – Zulässige Werte</w:t>
      </w:r>
    </w:p>
    <w:bookmarkEnd w:id="137"/>
    <w:p>
      <w:r>
        <w:br w:type="page"/>
      </w:r>
    </w:p>
    <w:bookmarkEnd w:id="138"/>
    <w:bookmarkEnd w:id="139"/>
    <w:bookmarkStart w:id="18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9"/>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9"/>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9"/>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4" w:name="klasse-group"/>
    <w:p>
      <w:pPr>
        <w:pStyle w:val="berschrift2"/>
      </w:pPr>
      <w:r>
        <w:t xml:space="preserve">Klasse: Group</w:t>
      </w:r>
      <w:r>
        <w:t xml:space="preserve"> </w:t>
      </w:r>
      <w:bookmarkStart w:id="140" w:name="Group"/>
      <w:bookmarkEnd w:id="140"/>
    </w:p>
    <w:p>
      <w:pPr>
        <w:pStyle w:val="FirstParagraph"/>
      </w:pPr>
      <w:r>
        <w:rPr>
          <w:i/>
          <w:iCs/>
        </w:rPr>
        <w:t xml:space="preserve">Eine politische Gruppe, Organisation oder Körperschaft (z.B. Partei, Kommission, Parlament, Departement).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Group – Attribute</w:t>
      </w:r>
    </w:p>
    <w:bookmarkEnd w:id="141"/>
    <w:bookmarkStart w:id="142"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Tabelle</w:t>
      </w:r>
      <w:r>
        <w:t xml:space="preserve"> </w:t>
      </w:r>
      <w:fldSimple w:instr=" SEQ Tabelle \* ARABIC ">
        <w:r>
          <w:t>1</w:t>
        </w:r>
      </w:fldSimple>
      <w:r>
        <w:t xml:space="preserve">: Group – Verwendungen</w:t>
      </w:r>
    </w:p>
    <w:bookmarkEnd w:id="142"/>
    <w:bookmarkStart w:id="153" w:name="beispiele-2"/>
    <w:p>
      <w:pPr>
        <w:pStyle w:val="berschrift3"/>
      </w:pPr>
      <w:r>
        <w:t xml:space="preserve">Beispiele</w:t>
      </w:r>
    </w:p>
    <w:bookmarkStart w:id="14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3"/>
    <w:bookmarkStart w:id="144"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4"/>
    <w:bookmarkStart w:id="145"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5"/>
    <w:bookmarkStart w:id="14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6"/>
    <w:bookmarkStart w:id="147"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7"/>
    <w:bookmarkStart w:id="148"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8"/>
    <w:bookmarkStart w:id="149"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Start w:id="150"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0"/>
    <w:bookmarkStart w:id="151"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52"/>
    <w:bookmarkEnd w:id="153"/>
    <w:bookmarkEnd w:id="154"/>
    <w:bookmarkStart w:id="158" w:name="klasse-grouptype"/>
    <w:p>
      <w:pPr>
        <w:pStyle w:val="berschrift2"/>
      </w:pPr>
      <w:r>
        <w:t xml:space="preserve">Klasse: GroupType</w:t>
      </w:r>
      <w:r>
        <w:t xml:space="preserve"> </w:t>
      </w:r>
      <w:bookmarkStart w:id="155" w:name="GroupType"/>
      <w:bookmarkEnd w:id="155"/>
    </w:p>
    <w:p>
      <w:pPr>
        <w:pStyle w:val="FirstParagraph"/>
      </w:pPr>
      <w:r>
        <w:rPr>
          <w:i/>
          <w:iCs/>
        </w:rPr>
        <w:t xml:space="preserve">Art der Gruppe (z.B. Partei, Kommission, Parlament, Departement).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p>
      <w:pPr>
        <w:pStyle w:val="Beschriftung"/>
      </w:pPr>
      <w:r>
        <w:t xml:space="preserve">Tabelle</w:t>
      </w:r>
      <w:r>
        <w:t xml:space="preserve"> </w:t>
      </w:r>
      <w:fldSimple w:instr=" SEQ Tabelle \* ARABIC ">
        <w:r>
          <w:t>1</w:t>
        </w:r>
      </w:fldSimple>
      <w:r>
        <w:t xml:space="preserve">: GroupType – Attribute</w:t>
      </w:r>
    </w:p>
    <w:bookmarkEnd w:id="156"/>
    <w:bookmarkStart w:id="157"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Tabelle</w:t>
      </w:r>
      <w:r>
        <w:t xml:space="preserve"> </w:t>
      </w:r>
      <w:fldSimple w:instr=" SEQ Tabelle \* ARABIC ">
        <w:r>
          <w:t>1</w:t>
        </w:r>
      </w:fldSimple>
      <w:r>
        <w:t xml:space="preserve">: GroupType – Verwendungen</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Tabelle</w:t>
      </w:r>
      <w:r>
        <w:t xml:space="preserve"> </w:t>
      </w:r>
      <w:fldSimple w:instr=" SEQ Tabelle \* ARABIC ">
        <w:r>
          <w:t>1</w:t>
        </w:r>
      </w:fldSimple>
      <w:r>
        <w:t xml:space="preserve">: GroupTypeEnum – Zulässige Werte</w:t>
      </w:r>
    </w:p>
    <w:bookmarkEnd w:id="184"/>
    <w:p>
      <w:r>
        <w:br w:type="page"/>
      </w:r>
    </w:p>
    <w:bookmarkEnd w:id="185"/>
    <w:bookmarkEnd w:id="186"/>
    <w:bookmarkStart w:id="21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10"/>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10"/>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10"/>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10"/>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10"/>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9" w:name="klasse-membership"/>
    <w:p>
      <w:pPr>
        <w:pStyle w:val="berschrift2"/>
      </w:pPr>
      <w:r>
        <w:t xml:space="preserve">Klasse: Membership</w:t>
      </w:r>
      <w:r>
        <w:t xml:space="preserve"> </w:t>
      </w:r>
      <w:bookmarkStart w:id="187" w:name="Membership"/>
      <w:bookmarkEnd w:id="187"/>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Membership – Attribute</w:t>
      </w:r>
    </w:p>
    <w:bookmarkEnd w:id="188"/>
    <w:bookmarkStart w:id="189"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Tabelle</w:t>
      </w:r>
      <w:r>
        <w:t xml:space="preserve"> </w:t>
      </w:r>
      <w:fldSimple w:instr=" SEQ Tabelle \* ARABIC ">
        <w:r>
          <w:t>1</w:t>
        </w:r>
      </w:fldSimple>
      <w:r>
        <w:t xml:space="preserve">: Membership – Verwendungen</w:t>
      </w:r>
    </w:p>
    <w:bookmarkEnd w:id="189"/>
    <w:bookmarkStart w:id="198" w:name="beispiele-3"/>
    <w:p>
      <w:pPr>
        <w:pStyle w:val="berschrift3"/>
      </w:pPr>
      <w:r>
        <w:t xml:space="preserve">Beispiele</w:t>
      </w:r>
    </w:p>
    <w:bookmarkStart w:id="190"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5"/>
    <w:bookmarkStart w:id="196"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klasse-roletype"/>
    <w:p>
      <w:pPr>
        <w:pStyle w:val="berschrift2"/>
      </w:pPr>
      <w:r>
        <w:t xml:space="preserve">Klasse: RoleType</w:t>
      </w:r>
      <w:r>
        <w:t xml:space="preserve"> </w:t>
      </w:r>
      <w:bookmarkStart w:id="200" w:name="RoleType"/>
      <w:bookmarkEnd w:id="200"/>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p>
      <w:pPr>
        <w:pStyle w:val="Beschriftung"/>
      </w:pPr>
      <w:r>
        <w:t xml:space="preserve">Tabelle</w:t>
      </w:r>
      <w:r>
        <w:t xml:space="preserve"> </w:t>
      </w:r>
      <w:fldSimple w:instr=" SEQ Tabelle \* ARABIC ">
        <w:r>
          <w:t>1</w:t>
        </w:r>
      </w:fldSimple>
      <w:r>
        <w:t xml:space="preserve">: RoleType – Attribute</w:t>
      </w:r>
    </w:p>
    <w:bookmarkStart w:id="201"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Tabelle</w:t>
      </w:r>
      <w:r>
        <w:t xml:space="preserve"> </w:t>
      </w:r>
      <w:fldSimple w:instr=" SEQ Tabelle \* ARABIC ">
        <w:r>
          <w:t>1</w:t>
        </w:r>
      </w:fldSimple>
      <w:r>
        <w:t xml:space="preserve">: RoleType – Verwendungen</w:t>
      </w:r>
    </w:p>
    <w:bookmarkStart w:id="203" w:name="regeln"/>
    <w:p>
      <w:pPr>
        <w:pStyle w:val="berschrift5"/>
      </w:pPr>
      <w:r>
        <w:t xml:space="preserve">Regeln</w:t>
      </w:r>
    </w:p>
    <w:p>
      <w:pPr>
        <w:pStyle w:val="Compact"/>
        <w:numPr>
          <w:ilvl w:val="0"/>
          <w:numId w:val="1012"/>
        </w:numPr>
      </w:pPr>
      <w:r>
        <w:t xml:space="preserve">Wenn der Rollentyp</w:t>
      </w:r>
      <w:r>
        <w:t xml:space="preserve"> </w:t>
      </w:r>
      <w:r>
        <w:t xml:space="preserve">‘other’</w:t>
      </w:r>
      <w:r>
        <w:t xml:space="preserve"> </w:t>
      </w:r>
      <w:r>
        <w:t xml:space="preserve">ist, muss eine beschreibende Bezeichnung angegeben werden.</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Rollen, die eine Person im Rahmen einer Mitgliedschaft haben kann.</w:t>
      </w:r>
    </w:p>
    <w:p>
      <w:pPr>
        <w:pStyle w:val="Textkrper"/>
      </w:pPr>
      <w:r>
        <w:t xml:space="preserve">URI:</w:t>
      </w:r>
      <w:r>
        <w:t xml:space="preserve"> </w:t>
      </w:r>
      <w:hyperlink ns1:id="rId207">
        <w:r>
          <w:rPr>
            <w:rStyle w:val="Hyperlink"/>
          </w:rPr>
          <w:t xml:space="preserve">act:RoleEnum</w:t>
        </w:r>
      </w:hyperlink>
    </w:p>
    <w:bookmarkStart w:id="20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p>
      <w:pPr>
        <w:pStyle w:val="Beschriftung"/>
      </w:pPr>
      <w:r>
        <w:t xml:space="preserve">Tabelle</w:t>
      </w:r>
      <w:r>
        <w:t xml:space="preserve"> </w:t>
      </w:r>
      <w:fldSimple w:instr=" SEQ Tabelle \* ARABIC ">
        <w:r>
          <w:t>1</w:t>
        </w:r>
      </w:fldSimple>
      <w:r>
        <w:t xml:space="preserve">: RoleEnum – Zulässige Werte</w:t>
      </w:r>
    </w:p>
    <w:bookmarkEnd w:id="208"/>
    <w:bookmarkEnd w:id="209"/>
    <w:bookmarkStart w:id="216" w:name="klasse-electoraldistrict"/>
    <w:p>
      <w:pPr>
        <w:pStyle w:val="berschrift2"/>
      </w:pPr>
      <w:r>
        <w:t xml:space="preserve">Klasse: ElectoralDistrict</w:t>
      </w:r>
      <w:r>
        <w:t xml:space="preserve"> </w:t>
      </w:r>
      <w:bookmarkStart w:id="210" w:name="ElectoralDistrict"/>
      <w:bookmarkEnd w:id="210"/>
    </w:p>
    <w:p>
      <w:pPr>
        <w:pStyle w:val="FirstParagraph"/>
      </w:pPr>
      <w:r>
        <w:rPr>
          <w:i/>
          <w:iCs/>
        </w:rPr>
        <w:t xml:space="preserve">Wahlkreis oder Wahlregion, die einer Mitgliedschaft zugeordnet ist. Die zeitliche Gültigkeit wird von der umschliessenden Mitgliedschaft übernommen.</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p>
      <w:pPr>
        <w:pStyle w:val="Beschriftung"/>
      </w:pPr>
      <w:r>
        <w:t xml:space="preserve">Tabelle</w:t>
      </w:r>
      <w:r>
        <w:t xml:space="preserve"> </w:t>
      </w:r>
      <w:fldSimple w:instr=" SEQ Tabelle \* ARABIC ">
        <w:r>
          <w:t>1</w:t>
        </w:r>
      </w:fldSimple>
      <w:r>
        <w:t xml:space="preserve">: ElectoralDistrict – Attribute</w:t>
      </w:r>
    </w:p>
    <w:bookmarkEnd w:id="211"/>
    <w:bookmarkStart w:id="21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Tabelle</w:t>
      </w:r>
      <w:r>
        <w:t xml:space="preserve"> </w:t>
      </w:r>
      <w:fldSimple w:instr=" SEQ Tabelle \* ARABIC ">
        <w:r>
          <w:t>1</w:t>
        </w:r>
      </w:fldSimple>
      <w:r>
        <w:t xml:space="preserve">: ElectoralDistrict – Verwendungen</w:t>
      </w:r>
    </w:p>
    <w:bookmarkEnd w:id="212"/>
    <w:bookmarkStart w:id="215" w:name="beispiele-4"/>
    <w:p>
      <w:pPr>
        <w:pStyle w:val="berschrift3"/>
      </w:pPr>
      <w:r>
        <w:t xml:space="preserve">Beispiele</w:t>
      </w:r>
    </w:p>
    <w:bookmarkStart w:id="213"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8">
        <w:r>
          <w:rPr>
            <w:rStyle w:val="Hyperlink"/>
          </w:rPr>
          <w:t xml:space="preserve">Bundesversammlung – Interessenbindungen</w:t>
        </w:r>
      </w:hyperlink>
      <w:r>
        <w:t xml:space="preserve">.</w:t>
      </w:r>
    </w:p>
    <w:p>
      <w:pPr>
        <w:pStyle w:val="Compact"/>
        <w:numPr>
          <w:ilvl w:val="0"/>
          <w:numId w:val="1013"/>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3"/>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3"/>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3"/>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3"/>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3"/>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3"/>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3"/>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3"/>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3" w:name="klasse-interestlink"/>
    <w:p>
      <w:pPr>
        <w:pStyle w:val="berschrift2"/>
      </w:pPr>
      <w:r>
        <w:t xml:space="preserve">Klasse: InterestLink</w:t>
      </w:r>
      <w:r>
        <w:t xml:space="preserve"> </w:t>
      </w:r>
      <w:bookmarkStart w:id="219" w:name="InterestLink"/>
      <w:bookmarkEnd w:id="219"/>
    </w:p>
    <w:p>
      <w:pPr>
        <w:pStyle w:val="FirstParagraph"/>
      </w:pPr>
      <w:r>
        <w:rPr>
          <w:i/>
          <w:iCs/>
        </w:rPr>
        <w:t xml:space="preserve">Eine Interessenbindung (Interessenkonflikt, Politikfinanzierung) einer Person zu einer Organisation ausserhalb des Akteur-Schemas.</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p>
      <w:pPr>
        <w:pStyle w:val="Beschriftung"/>
      </w:pPr>
      <w:r>
        <w:t xml:space="preserve">Tabelle</w:t>
      </w:r>
      <w:r>
        <w:t xml:space="preserve"> </w:t>
      </w:r>
      <w:fldSimple w:instr=" SEQ Tabelle \* ARABIC ">
        <w:r>
          <w:t>1</w:t>
        </w:r>
      </w:fldSimple>
      <w:r>
        <w:t xml:space="preserve">: InterestLink – Attribute</w:t>
      </w:r>
    </w:p>
    <w:bookmarkStart w:id="220"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Tabelle</w:t>
      </w:r>
      <w:r>
        <w:t xml:space="preserve"> </w:t>
      </w:r>
      <w:fldSimple w:instr=" SEQ Tabelle \* ARABIC ">
        <w:r>
          <w:t>1</w:t>
        </w:r>
      </w:fldSimple>
      <w:r>
        <w:t xml:space="preserve">: InterestLink – Verwendungen</w:t>
      </w:r>
    </w:p>
    <w:bookmarkEnd w:id="222"/>
    <w:bookmarkStart w:id="232" w:name="beispiele-5"/>
    <w:p>
      <w:pPr>
        <w:pStyle w:val="berschrift3"/>
      </w:pPr>
      <w:r>
        <w:t xml:space="preserve">Beispiele</w:t>
      </w:r>
    </w:p>
    <w:bookmarkStart w:id="223"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3"/>
    <w:bookmarkStart w:id="224"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4"/>
    <w:bookmarkStart w:id="225"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5"/>
    <w:bookmarkStart w:id="226"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9"/>
    <w:bookmarkStart w:id="230"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30"/>
    <w:bookmarkStart w:id="231"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Typen von Interessenbindungen (Interessenkonflikte, Politikfinanzierung).</w:t>
      </w:r>
    </w:p>
    <w:p>
      <w:pPr>
        <w:pStyle w:val="Textkrper"/>
      </w:pPr>
      <w:r>
        <w:t xml:space="preserve">URI:</w:t>
      </w:r>
      <w:r>
        <w:t xml:space="preserve"> </w:t>
      </w:r>
      <w:hyperlink ns1:id="rId235">
        <w:r>
          <w:rPr>
            <w:rStyle w:val="Hyperlink"/>
          </w:rPr>
          <w:t xml:space="preserve">act:InterestTypeEnum</w:t>
        </w:r>
      </w:hyperlink>
    </w:p>
    <w:bookmarkStart w:id="242"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Tabelle</w:t>
      </w:r>
      <w:r>
        <w:t xml:space="preserve"> </w:t>
      </w:r>
      <w:fldSimple w:instr=" SEQ Tabelle \* ARABIC ">
        <w:r>
          <w:t>1</w:t>
        </w:r>
      </w:fldSimple>
      <w:r>
        <w:t xml:space="preserve">: InterestTypeEnum – Zulässige Werte</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Tabelle</w:t>
      </w:r>
      <w:r>
        <w:t xml:space="preserve"> </w:t>
      </w:r>
      <w:fldSimple w:instr=" SEQ Tabelle \* ARABIC ">
        <w:r>
          <w:t>1</w:t>
        </w:r>
      </w:fldSimple>
      <w:r>
        <w:t xml:space="preserve">: LegalFormEnum – Zulässige Werte</w:t>
      </w:r>
    </w:p>
    <w:bookmarkEnd w:id="284"/>
    <w:p>
      <w:r>
        <w:br w:type="page"/>
      </w:r>
    </w:p>
    <w:bookmarkEnd w:id="285"/>
    <w:bookmarkEnd w:id="286"/>
    <w:bookmarkStart w:id="334" w:name="geteilte-elemente"/>
    <w:p>
      <w:pPr>
        <w:pStyle w:val="berschrift1"/>
      </w:pPr>
      <w:r>
        <w:t xml:space="preserve">Geteilte Elemente</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5"/>
        </w:numPr>
      </w:pPr>
      <w:r>
        <w:rPr>
          <w:b/>
          <w:bCs/>
        </w:rPr>
        <w:t xml:space="preserve">Nützliche lokale Daten</w:t>
      </w:r>
      <w:r>
        <w:t xml:space="preserve"> </w:t>
      </w:r>
      <w:r>
        <w:t xml:space="preserve">ohne aufwändige Abfragen der vollständigen Entität</w:t>
      </w:r>
    </w:p>
    <w:p>
      <w:pPr>
        <w:pStyle w:val="Compact"/>
        <w:numPr>
          <w:ilvl w:val="0"/>
          <w:numId w:val="1015"/>
        </w:numPr>
      </w:pPr>
      <w:r>
        <w:rPr>
          <w:b/>
          <w:bCs/>
        </w:rPr>
        <w:t xml:space="preserve">Keine Redundanz</w:t>
      </w:r>
      <w:r>
        <w:t xml:space="preserve">, da nicht alle Informationen bei jeder Erwähnung wiederholt werden müssen</w:t>
      </w:r>
    </w:p>
    <w:p>
      <w:pPr>
        <w:pStyle w:val="Compact"/>
        <w:numPr>
          <w:ilvl w:val="0"/>
          <w:numId w:val="1015"/>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7"/>
    <w:bookmarkStart w:id="292" w:name="klasse-personreference"/>
    <w:p>
      <w:pPr>
        <w:pStyle w:val="berschrift2"/>
      </w:pPr>
      <w:r>
        <w:t xml:space="preserve">Klasse: PersonReference</w:t>
      </w:r>
      <w:r>
        <w:t xml:space="preserve"> </w:t>
      </w:r>
      <w:bookmarkStart w:id="288" w:name="PersonReference"/>
      <w:bookmarkEnd w:id="28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p>
      <w:pPr>
        <w:pStyle w:val="Beschriftung"/>
      </w:pPr>
      <w:r>
        <w:t xml:space="preserve">Tabelle</w:t>
      </w:r>
      <w:r>
        <w:t xml:space="preserve"> </w:t>
      </w:r>
      <w:fldSimple w:instr=" SEQ Tabelle \* ARABIC ">
        <w:r>
          <w:t>1</w:t>
        </w:r>
      </w:fldSimple>
      <w:r>
        <w:t xml:space="preserve">: PersonReference – Attribute</w:t>
      </w:r>
    </w:p>
    <w:bookmarkStart w:id="28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Tabelle</w:t>
      </w:r>
      <w:r>
        <w:t xml:space="preserve"> </w:t>
      </w:r>
      <w:fldSimple w:instr=" SEQ Tabelle \* ARABIC ">
        <w:r>
          <w:t>1</w:t>
        </w:r>
      </w:fldSimple>
      <w:r>
        <w:t xml:space="preserve">: PersonReference – Verwendungen</w:t>
      </w:r>
    </w:p>
    <w:bookmarkEnd w:id="291"/>
    <w:bookmarkEnd w:id="292"/>
    <w:bookmarkStart w:id="297" w:name="klasse-groupreference"/>
    <w:p>
      <w:pPr>
        <w:pStyle w:val="berschrift2"/>
      </w:pPr>
      <w:r>
        <w:t xml:space="preserve">Klasse: GroupReference</w:t>
      </w:r>
      <w:r>
        <w:t xml:space="preserve"> </w:t>
      </w:r>
      <w:bookmarkStart w:id="293" w:name="GroupReference"/>
      <w:bookmarkEnd w:id="29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p>
      <w:pPr>
        <w:pStyle w:val="Beschriftung"/>
      </w:pPr>
      <w:r>
        <w:t xml:space="preserve">Tabelle</w:t>
      </w:r>
      <w:r>
        <w:t xml:space="preserve"> </w:t>
      </w:r>
      <w:fldSimple w:instr=" SEQ Tabelle \* ARABIC ">
        <w:r>
          <w:t>1</w:t>
        </w:r>
      </w:fldSimple>
      <w:r>
        <w:t xml:space="preserve">: GroupReference – Attribute</w:t>
      </w:r>
    </w:p>
    <w:bookmarkStart w:id="294"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Tabelle</w:t>
      </w:r>
      <w:r>
        <w:t xml:space="preserve"> </w:t>
      </w:r>
      <w:fldSimple w:instr=" SEQ Tabelle \* ARABIC ">
        <w:r>
          <w:t>1</w:t>
        </w:r>
      </w:fldSimple>
      <w:r>
        <w:t xml:space="preserve">: GroupReference – Verwendungen</w:t>
      </w:r>
    </w:p>
    <w:bookmarkEnd w:id="296"/>
    <w:bookmarkEnd w:id="297"/>
    <w:bookmarkStart w:id="300"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8">
        <w:r>
          <w:rPr>
            <w:rStyle w:val="Hyperlink"/>
          </w:rPr>
          <w:t xml:space="preserve">Such-API von geo.admin.ch</w:t>
        </w:r>
      </w:hyperlink>
      <w:r>
        <w:t xml:space="preserve"> </w:t>
      </w:r>
      <w:r>
        <w:t xml:space="preserve">benutzen oder mit dem</w:t>
      </w:r>
      <w:r>
        <w:t xml:space="preserve"> </w:t>
      </w:r>
      <w:hyperlink ns1:id="rId299">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300"/>
    <w:bookmarkStart w:id="308" w:name="klasse-address"/>
    <w:p>
      <w:pPr>
        <w:pStyle w:val="berschrift2"/>
      </w:pPr>
      <w:r>
        <w:t xml:space="preserve">Klasse: Address</w:t>
      </w:r>
      <w:r>
        <w:t xml:space="preserve"> </w:t>
      </w:r>
      <w:bookmarkStart w:id="301" w:name="Address"/>
      <w:bookmarkEnd w:id="301"/>
    </w:p>
    <w:p>
      <w:pPr>
        <w:pStyle w:val="FirstParagraph"/>
      </w:pPr>
      <w:r>
        <w:rPr>
          <w:i/>
          <w:iCs/>
        </w:rPr>
        <w:t xml:space="preserve">Eine Adresse mit einem Typ (z.B. Privatadresse, Geschäftsadresse) und einem Wert.</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p>
      <w:pPr>
        <w:pStyle w:val="Beschriftung"/>
      </w:pPr>
      <w:r>
        <w:t xml:space="preserve">Tabelle</w:t>
      </w:r>
      <w:r>
        <w:t xml:space="preserve"> </w:t>
      </w:r>
      <w:fldSimple w:instr=" SEQ Tabelle \* ARABIC ">
        <w:r>
          <w:t>1</w:t>
        </w:r>
      </w:fldSimple>
      <w:r>
        <w:t xml:space="preserve">: Address – Attribute</w:t>
      </w:r>
    </w:p>
    <w:bookmarkStart w:id="30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Tabelle</w:t>
      </w:r>
      <w:r>
        <w:t xml:space="preserve"> </w:t>
      </w:r>
      <w:fldSimple w:instr=" SEQ Tabelle \* ARABIC ">
        <w:r>
          <w:t>1</w:t>
        </w:r>
      </w:fldSimple>
      <w:r>
        <w:t xml:space="preserve">: Address – Verwendungen</w:t>
      </w:r>
    </w:p>
    <w:bookmarkEnd w:id="304"/>
    <w:bookmarkStart w:id="307" w:name="beispiele-6"/>
    <w:p>
      <w:pPr>
        <w:pStyle w:val="berschrift3"/>
      </w:pPr>
      <w:r>
        <w:t xml:space="preserve">Beispiele</w:t>
      </w:r>
    </w:p>
    <w:bookmarkStart w:id="305"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Adresstypen.</w:t>
      </w:r>
    </w:p>
    <w:p>
      <w:pPr>
        <w:pStyle w:val="Textkrper"/>
      </w:pPr>
      <w:r>
        <w:t xml:space="preserve">URI:</w:t>
      </w:r>
      <w:r>
        <w:t xml:space="preserve"> </w:t>
      </w:r>
      <w:hyperlink ns1:id="rId310">
        <w:r>
          <w:rPr>
            <w:rStyle w:val="Hyperlink"/>
          </w:rPr>
          <w:t xml:space="preserve">act:AddressTypeEnum</w:t>
        </w:r>
      </w:hyperlink>
    </w:p>
    <w:bookmarkStart w:id="311"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p>
      <w:pPr>
        <w:pStyle w:val="Beschriftung"/>
      </w:pPr>
      <w:r>
        <w:t xml:space="preserve">Tabelle</w:t>
      </w:r>
      <w:r>
        <w:t xml:space="preserve"> </w:t>
      </w:r>
      <w:fldSimple w:instr=" SEQ Tabelle \* ARABIC ">
        <w:r>
          <w:t>1</w:t>
        </w:r>
      </w:fldSimple>
      <w:r>
        <w:t xml:space="preserve">: AddressTypeEnum – Zulässige Werte</w:t>
      </w:r>
    </w:p>
    <w:bookmarkEnd w:id="311"/>
    <w:bookmarkEnd w:id="312"/>
    <w:bookmarkStart w:id="316" w:name="klasse-contact"/>
    <w:p>
      <w:pPr>
        <w:pStyle w:val="berschrift2"/>
      </w:pPr>
      <w:r>
        <w:t xml:space="preserve">Klasse: Contact</w:t>
      </w:r>
      <w:r>
        <w:t xml:space="preserve"> </w:t>
      </w:r>
      <w:bookmarkStart w:id="313" w:name="Contact"/>
      <w:bookmarkEnd w:id="313"/>
    </w:p>
    <w:p>
      <w:pPr>
        <w:pStyle w:val="FirstParagraph"/>
      </w:pPr>
      <w:r>
        <w:rPr>
          <w:i/>
          <w:iCs/>
        </w:rPr>
        <w:t xml:space="preserve">Kontaktinformation einer Person mit Angabe eines Typs (z.B. E-Mail, LinkedIn) und eines Werts.</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p>
      <w:pPr>
        <w:pStyle w:val="Beschriftung"/>
      </w:pPr>
      <w:r>
        <w:t xml:space="preserve">Tabelle</w:t>
      </w:r>
      <w:r>
        <w:t xml:space="preserve"> </w:t>
      </w:r>
      <w:fldSimple w:instr=" SEQ Tabelle \* ARABIC ">
        <w:r>
          <w:t>1</w:t>
        </w:r>
      </w:fldSimple>
      <w:r>
        <w:t xml:space="preserve">: Contact – Attribute</w:t>
      </w:r>
    </w:p>
    <w:bookmarkEnd w:id="314"/>
    <w:bookmarkStart w:id="315"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Tabelle</w:t>
      </w:r>
      <w:r>
        <w:t xml:space="preserve"> </w:t>
      </w:r>
      <w:fldSimple w:instr=" SEQ Tabelle \* ARABIC ">
        <w:r>
          <w:t>1</w:t>
        </w:r>
      </w:fldSimple>
      <w:r>
        <w:t xml:space="preserve">: Contact – Verwendungen</w:t>
      </w:r>
    </w:p>
    <w:bookmarkEnd w:id="315"/>
    <w:bookmarkEnd w:id="316"/>
    <w:bookmarkStart w:id="317"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7"/>
    <w:bookmarkStart w:id="321" w:name="klasse-hasidentification"/>
    <w:p>
      <w:pPr>
        <w:pStyle w:val="berschrift2"/>
      </w:pPr>
      <w:r>
        <w:t xml:space="preserve">Klasse: HasIdentification</w:t>
      </w:r>
      <w:r>
        <w:t xml:space="preserve"> </w:t>
      </w:r>
      <w:bookmarkStart w:id="318" w:name="HasIdentification"/>
      <w:bookmarkEnd w:id="31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HasIdentification – Attribute</w:t>
      </w:r>
    </w:p>
    <w:bookmarkEnd w:id="319"/>
    <w:bookmarkStart w:id="320"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klasse-hasreferenceidentification"/>
    <w:p>
      <w:pPr>
        <w:pStyle w:val="berschrift2"/>
      </w:pPr>
      <w:r>
        <w:t xml:space="preserve">Klasse: HasReferenceIdentification</w:t>
      </w:r>
      <w:r>
        <w:t xml:space="preserve"> </w:t>
      </w:r>
      <w:bookmarkStart w:id="322" w:name="HasReferenceIdentification"/>
      <w:bookmarkEnd w:id="322"/>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p>
      <w:pPr>
        <w:pStyle w:val="Beschriftung"/>
      </w:pPr>
      <w:r>
        <w:t xml:space="preserve">Tabelle</w:t>
      </w:r>
      <w:r>
        <w:t xml:space="preserve"> </w:t>
      </w:r>
      <w:fldSimple w:instr=" SEQ Tabelle \* ARABIC ">
        <w:r>
          <w:t>1</w:t>
        </w:r>
      </w:fldSimple>
      <w:r>
        <w:t xml:space="preserve">: HasReferenceIdentification – Attribute</w:t>
      </w:r>
    </w:p>
    <w:bookmarkEnd w:id="323"/>
    <w:bookmarkStart w:id="324"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klasse-hastemporalvalidity"/>
    <w:p>
      <w:pPr>
        <w:pStyle w:val="berschrift2"/>
      </w:pPr>
      <w:r>
        <w:t xml:space="preserve">Klasse: HasTemporalValidity</w:t>
      </w:r>
      <w:r>
        <w:t xml:space="preserve"> </w:t>
      </w:r>
      <w:bookmarkStart w:id="326" w:name="HasTemporalValidity"/>
      <w:bookmarkEnd w:id="326"/>
    </w:p>
    <w:p>
      <w:pPr>
        <w:pStyle w:val="FirstParagraph"/>
      </w:pPr>
      <w:r>
        <w:rPr>
          <w:i/>
          <w:iCs/>
        </w:rPr>
        <w:t xml:space="preserve">Eine Mixin-Klasse, die Slots für die Modellierung einer zeitlichen Gültigkeit einer Information (nicht eines Events) zur Verfügung stellt.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p>
      <w:pPr>
        <w:pStyle w:val="Beschriftung"/>
      </w:pPr>
      <w:r>
        <w:t xml:space="preserve">Tabelle</w:t>
      </w:r>
      <w:r>
        <w:t xml:space="preserve"> </w:t>
      </w:r>
      <w:fldSimple w:instr=" SEQ Tabelle \* ARABIC ">
        <w:r>
          <w:t>1</w:t>
        </w:r>
      </w:fldSimple>
      <w:r>
        <w:t xml:space="preserve">: HasTemporalValidity – Attribute</w:t>
      </w:r>
    </w:p>
    <w:bookmarkEnd w:id="327"/>
    <w:bookmarkStart w:id="328"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klasse-hascreationmodificationdates"/>
    <w:p>
      <w:pPr>
        <w:pStyle w:val="berschrift2"/>
      </w:pPr>
      <w:r>
        <w:t xml:space="preserve">Klasse: HasCreationModificationDates</w:t>
      </w:r>
      <w:r>
        <w:t xml:space="preserve"> </w:t>
      </w:r>
      <w:bookmarkStart w:id="330" w:name="HasCreationModificationDates"/>
      <w:bookmarkEnd w:id="330"/>
    </w:p>
    <w:p>
      <w:pPr>
        <w:pStyle w:val="FirstParagraph"/>
      </w:pPr>
      <w:r>
        <w:rPr>
          <w:i/>
          <w:iCs/>
        </w:rPr>
        <w:t xml:space="preserve">Eine Mixin-Klasse, die Slots für die Modellierung von Erstellungs- und Änderungsdaten einer Entität zur Verfügung stellt.</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p>
      <w:pPr>
        <w:pStyle w:val="Beschriftung"/>
      </w:pPr>
      <w:r>
        <w:t xml:space="preserve">Tabelle</w:t>
      </w:r>
      <w:r>
        <w:t xml:space="preserve"> </w:t>
      </w:r>
      <w:fldSimple w:instr=" SEQ Tabelle \* ARABIC ">
        <w:r>
          <w:t>1</w:t>
        </w:r>
      </w:fldSimple>
      <w:r>
        <w:t xml:space="preserve">: HasCreationModificationDates – Attribute</w:t>
      </w:r>
    </w:p>
    <w:bookmarkEnd w:id="331"/>
    <w:bookmarkStart w:id="332"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icherheitsüberlegungen"/>
    <w:p>
      <w:pPr>
        <w:pStyle w:val="berschrift1"/>
      </w:pPr>
      <w:r>
        <w:t xml:space="preserve">Sicherheitsüberlegungen</w:t>
      </w:r>
    </w:p>
    <w:p>
      <w:pPr>
        <w:pStyle w:val="FirstParagraph"/>
      </w:pPr>
      <w:r>
        <w:t xml:space="preserve">Grundsätzlich Datenschutz: Liegt in Verantwortung der publizierenden stellen, welche sich hinsichtlich Veröffentlichung bereits Vorstellung und Vorkehrungen haben (z.B. Flag oder interne Sichtbarkeit).</w:t>
      </w:r>
    </w:p>
    <w:p>
      <w:r>
        <w:br w:type="page"/>
      </w:r>
    </w:p>
    <w:bookmarkEnd w:id="335"/>
    <w:bookmarkStart w:id="336" w:name="X7a7cd44f7636750088658f6a550ed57dcb8441f"/>
    <w:p>
      <w:pPr>
        <w:pStyle w:val="berschrift1"/>
      </w:pPr>
      <w:r>
        <w:t xml:space="preserve">Haftungsausschluss/Hinweise auf Rechte Dritter</w:t>
      </w:r>
    </w:p>
    <w:p>
      <w:pPr>
        <w:pStyle w:val="FirstParagraph"/>
      </w:pPr>
      <w:r>
        <w:t xml:space="preserve">eCH-Standards, welche der Verein eCH den Benutzenden zur unentgeltlichen Nutzung zur Verfügung stellen oder welche eCH referenzieren, haben nur den Status von Empfehlungen. Der Verein eCH haftet in keinem Fall für Entscheidungen oder Massnahmen, welche den Benutzenden auf Grund dieser Dokumente trifft und / oder ergreift. Die Benutzenden sind verpflichtet, die Dokumente vor deren Nutzung selbst zu überprüfen und sich gegebenenfalls beraten zu lassen. eCH-Standards können und sollen die technische, organisatorische oder juristische Beratung im konkreten Einzelfall nicht ersetzen.</w:t>
      </w:r>
    </w:p>
    <w:p>
      <w:pPr>
        <w:pStyle w:val="Textkrper"/>
      </w:pPr>
      <w:r>
        <w:t xml:space="preserve">In eCH-Standards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pStyle w:val="Textkrper"/>
      </w:pPr>
      <w:r>
        <w:t xml:space="preserve">Obwohl der Verein eCH all seine Sorgfalt darauf verwendet, die eCH-Standards sorgfältig auszuarbeiten, kann keine Zusicherung oder Garantie auf Aktualität, Vollständigkeit, Richtigkeit bzw. Fehlerfreiheit der zur Verfügung gestellten Informationen und Dokumente gegeben werden. Der Inhalt von eCH-Standards kann jederzeit und ohne Ankündigung geändert werden.</w:t>
      </w:r>
    </w:p>
    <w:p>
      <w:pPr>
        <w:pStyle w:val="Textkrper"/>
      </w:pPr>
      <w:r>
        <w:t xml:space="preserve">Jede Haftung für Schäden, welche den Benutzenden aus dem Gebrauch der eCH-Standards entstehen, ist, soweit gesetzlich zulässig, wegbedungen.</w:t>
      </w:r>
    </w:p>
    <w:p>
      <w:r>
        <w:br w:type="page"/>
      </w:r>
    </w:p>
    <w:bookmarkEnd w:id="336"/>
    <w:bookmarkStart w:id="357"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Start w:id="337" w:name="anhang-a-referenzen-bibliographie"/>
    <w:p>
      <w:pPr>
        <w:pStyle w:val="Anhangberschrift"/>
      </w:pPr>
      <w:r>
        <w:t xml:space="preserve">Anhang A – Referenzen &amp; Bibliographie</w:t>
      </w:r>
    </w:p>
    <w:bookmarkEnd w:id="337"/>
    <w:p>
      <w:pPr>
        <w:pStyle w:val="Textkrper"/>
      </w:pPr>
      <w:r>
        <w:t xml:space="preserve">Wo eine Version genannt ist, ist es diejenige, gegen die dieser Standard erarbeitet wurde.</w:t>
      </w:r>
    </w:p>
    <w:bookmarkStart w:id="338" w:name="Xdbf62244f6b4f9f16288a703ef5341868a945ae"/>
    <w:p>
      <w:pPr>
        <w:pStyle w:val="Anhangberschrift2"/>
      </w:pPr>
      <w:r>
        <w:t xml:space="preserve">Standards der Fachgruppe „Politische Geschäfte”</w:t>
      </w:r>
    </w:p>
    <w:bookmarkEnd w:id="338"/>
    <w:p>
      <w:pPr>
        <w:pStyle w:val="Textkrper"/>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43">
              <w:r>
                <w:rPr>
                  <w:rStyle w:val="Hyperlink"/>
                </w:rPr>
                <w:t xml:space="preserve">https://www.ech.ch/de/ech/ech-0297</w:t>
              </w:r>
            </w:hyperlink>
          </w:p>
        </w:tc>
      </w:tr>
    </w:tbl>
    <w:bookmarkStart w:id="344" w:name="weitere-ech-standards"/>
    <w:p>
      <w:pPr>
        <w:pStyle w:val="Anhangberschrift2"/>
      </w:pPr>
      <w:r>
        <w:t xml:space="preserve">Weitere eCH-Standards</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45">
              <w:r>
                <w:rPr>
                  <w:rStyle w:val="Hyperlink"/>
                </w:rPr>
                <w:t xml:space="preserve">https://www.ech.ch/de/ech/ech-0108/6.0.0</w:t>
              </w:r>
            </w:hyperlink>
          </w:p>
        </w:tc>
      </w:tr>
    </w:tbl>
    <w:bookmarkStart w:id="346" w:name="codelisten-und-weitere-quellen"/>
    <w:p>
      <w:pPr>
        <w:pStyle w:val="Anhangberschrift2"/>
      </w:pPr>
      <w:r>
        <w:t xml:space="preserve">Codelisten und weitere Quellen</w:t>
      </w:r>
    </w:p>
    <w:bookmarkEnd w:id="346"/>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5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51">
              <w:r>
                <w:rPr>
                  <w:rStyle w:val="Hyperlink"/>
                </w:rPr>
                <w:t xml:space="preserve">https://linkml.io</w:t>
              </w:r>
            </w:hyperlink>
          </w:p>
        </w:tc>
      </w:tr>
    </w:tbl>
    <w:p>
      <w:r>
        <w:br w:type="page"/>
      </w:r>
    </w:p>
    <w:bookmarkStart w:id="352" w:name="anhang-b-mitarbeit-überprüfung"/>
    <w:p>
      <w:pPr>
        <w:pStyle w:val="Anhangberschrift"/>
      </w:pPr>
      <w:r>
        <w:t xml:space="preserve">Anhang B – Mitarbeit &amp; Überprüfung</w:t>
      </w:r>
    </w:p>
    <w:bookmarkEnd w:id="352"/>
    <w:p>
      <w:pPr>
        <w:pStyle w:val="Textkrper"/>
      </w:pPr>
      <w:r>
        <w:t xml:space="preserve">Fachgruppe Politische Geschäfte, Subgruppe Politische Akteure: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Bundesamt für Statistik</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Universität Zürich, IPZ</w:t>
            </w:r>
          </w:p>
        </w:tc>
      </w:tr>
      <w:tr>
        <w:tc>
          <w:tcPr/>
          <w:p>
            <w:pPr>
              <w:pStyle w:val="Compact"/>
            </w:pPr>
            <w:r>
              <w:t xml:space="preserve">Daniela Koller</w:t>
            </w:r>
          </w:p>
        </w:tc>
        <w:tc>
          <w:tcPr/>
          <w:p>
            <w:pPr>
              <w:pStyle w:val="Compact"/>
            </w:pPr>
            <w:r>
              <w:t xml:space="preserve">Kanton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Parlamentsdienste</w:t>
            </w:r>
          </w:p>
        </w:tc>
      </w:tr>
      <w:tr>
        <w:tc>
          <w:tcPr/>
          <w:p>
            <w:pPr>
              <w:pStyle w:val="Compact"/>
            </w:pPr>
            <w:r>
              <w:t xml:space="preserve">Orhan Saeedi</w:t>
            </w:r>
          </w:p>
        </w:tc>
        <w:tc>
          <w:tcPr/>
          <w:p>
            <w:pPr>
              <w:pStyle w:val="Compact"/>
            </w:pPr>
            <w:r>
              <w:t xml:space="preserve">Kanton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Bundeskanzlei</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Datum</w:t>
            </w:r>
          </w:p>
        </w:tc>
        <w:tc>
          <w:tcPr/>
          <w:p>
            <w:pPr>
              <w:pStyle w:val="Compact"/>
            </w:pPr>
            <w:r>
              <w:t xml:space="preserve">Ersteller</w:t>
            </w:r>
          </w:p>
        </w:tc>
        <w:tc>
          <w:tcPr/>
          <w:p>
            <w:pPr>
              <w:pStyle w:val="Compact"/>
            </w:pPr>
            <w:r>
              <w:t xml:space="preserve">Bemerkung</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Fachgruppe Politische Geschäfte</w:t>
            </w:r>
          </w:p>
        </w:tc>
        <w:tc>
          <w:tcPr>
            <w:shd w:val="clear" w:color="auto" w:fill="F2F2F2"/>
          </w:tcPr>
          <w:p>
            <w:pPr>
              <w:pStyle w:val="Compact"/>
            </w:pPr>
            <w:r>
              <w:t xml:space="preserve">Einreichung als Vorschlag</w:t>
            </w:r>
          </w:p>
        </w:tc>
      </w:tr>
    </w:tbl>
    <w:bookmarkStart w:id="353" w:name="anhang-c-abkürzungen-und-glossar"/>
    <w:p>
      <w:pPr>
        <w:pStyle w:val="Anhangberschrift"/>
      </w:pPr>
      <w:r>
        <w:t xml:space="preserve">Anhang C – Abkürzungen und Glossar</w:t>
      </w:r>
    </w:p>
    <w:bookmarkEnd w:id="353"/>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DSG</w:t>
            </w:r>
          </w:p>
        </w:tc>
        <w:tc>
          <w:tcPr/>
          <w:p>
            <w:pPr>
              <w:pStyle w:val="Compact"/>
            </w:pPr>
            <w:r>
              <w:t xml:space="preserve">Bundesgesetz über den Datenschutz, in Kraft seit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Interoperabilitätsplattform des Bundesamts für Statistik; Bezugsquelle mehrerer Codelisten.</w:t>
            </w:r>
          </w:p>
        </w:tc>
      </w:tr>
      <w:tr>
        <w:tc>
          <w:tcPr/>
          <w:p>
            <w:pPr>
              <w:pStyle w:val="Compact"/>
            </w:pPr>
            <w:r>
              <w:t xml:space="preserve">IRI</w:t>
            </w:r>
          </w:p>
        </w:tc>
        <w:tc>
          <w:tcPr/>
          <w:p>
            <w:pPr>
              <w:pStyle w:val="Compact"/>
            </w:pPr>
            <w:r>
              <w:t xml:space="preserve">Internationalized Resource Identifier. Erweiterung der URI auf den vollen Unicode-Zeichenvorrat.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Serialisierung von verknüpften Daten in JSON.</w:t>
            </w:r>
          </w:p>
        </w:tc>
      </w:tr>
      <w:tr>
        <w:tc>
          <w:tcPr/>
          <w:p>
            <w:pPr>
              <w:pStyle w:val="Compact"/>
            </w:pPr>
            <w:r>
              <w:t xml:space="preserve">LINDAS</w:t>
            </w:r>
          </w:p>
        </w:tc>
        <w:tc>
          <w:tcPr/>
          <w:p>
            <w:pPr>
              <w:pStyle w:val="Compact"/>
            </w:pPr>
            <w:r>
              <w:t xml:space="preserve">Linked Data Service der Schweizerischen Bundesverwaltung.</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Modellierungssprache, in der dieser Standard definiert ist.</w:t>
            </w:r>
          </w:p>
        </w:tc>
      </w:tr>
      <w:tr>
        <w:tc>
          <w:tcPr/>
          <w:p>
            <w:pPr>
              <w:pStyle w:val="Compact"/>
            </w:pPr>
            <w:r>
              <w:t xml:space="preserve">NOGA</w:t>
            </w:r>
          </w:p>
        </w:tc>
        <w:tc>
          <w:tcPr/>
          <w:p>
            <w:pPr>
              <w:pStyle w:val="Compact"/>
            </w:pPr>
            <w:r>
              <w:t xml:space="preserve">Allgemeine Systematik der Wirtschaftszweige des Bundesamts für Statistik.</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Datenmodell für verknüpfte Daten; hier als Turtle (.ttl) ausgeliefert.</w:t>
            </w:r>
          </w:p>
        </w:tc>
      </w:tr>
      <w:tr>
        <w:tc>
          <w:tcPr/>
          <w:p>
            <w:pPr>
              <w:pStyle w:val="Compact"/>
            </w:pPr>
            <w:r>
              <w:t xml:space="preserve">UID</w:t>
            </w:r>
          </w:p>
        </w:tc>
        <w:tc>
          <w:tcPr/>
          <w:p>
            <w:pPr>
              <w:pStyle w:val="Compact"/>
            </w:pPr>
            <w:r>
              <w:t xml:space="preserve">Unternehmens-Identifikationsnummer. Eindeutiger Schlüssel eines Schweizer Unternehmens gemäss Bundesamt für Statistik.</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Eindeutiger Bezeichner einer Ressource.</w:t>
            </w:r>
          </w:p>
        </w:tc>
      </w:tr>
      <w:tr>
        <w:tc>
          <w:tcPr/>
          <w:p>
            <w:pPr>
              <w:pStyle w:val="Compact"/>
            </w:pPr>
            <w:r>
              <w:t xml:space="preserve">XSD</w:t>
            </w:r>
          </w:p>
        </w:tc>
        <w:tc>
          <w:tcPr/>
          <w:p>
            <w:pPr>
              <w:pStyle w:val="Compact"/>
            </w:pPr>
            <w:r>
              <w:t xml:space="preserve">XML Schema Definition. Empfehlung des W3C zum Definieren von Strukturen für XML-Dokumente.</w:t>
            </w:r>
          </w:p>
        </w:tc>
      </w:tr>
    </w:tbl>
    <w:bookmarkStart w:id="354" w:name="anhang-d-änderungen-gegenüber-vorversion"/>
    <w:p>
      <w:pPr>
        <w:pStyle w:val="Anhangberschrift"/>
      </w:pPr>
      <w:r>
        <w:t xml:space="preserve">Anhang D – Änderungen gegenüber Vorversion</w:t>
      </w:r>
    </w:p>
    <w:bookmarkEnd w:id="354"/>
    <w:p>
      <w:pPr>
        <w:pStyle w:val="Textkrper"/>
      </w:pPr>
      <w:r>
        <w:t xml:space="preserve">Dies ist die erste Version.</w:t>
      </w:r>
    </w:p>
    <w:p>
      <w:r>
        <w:br w:type="page"/>
      </w:r>
    </w:p>
    <w:bookmarkStart w:id="355" w:name="anhang-e-abbildungsverzeichnis"/>
    <w:p>
      <w:pPr>
        <w:pStyle w:val="Anhangberschrift"/>
      </w:pPr>
      <w:r>
        <w:t xml:space="preserve">Anhang E – Abbildungsverzeichnis</w:t>
      </w:r>
    </w:p>
    <w:bookmarkEnd w:id="355"/>
    <w:p>
      <w:pPr>
        <w:pStyle w:val="Textkrper"/>
      </w:pPr>
      <w:r>
        <w:t xml:space="preserve">Keine</w:t>
      </w:r>
    </w:p>
    <w:bookmarkStart w:id="356" w:name="anhang-f-tabellenverzeichnis"/>
    <w:p>
      <w:pPr>
        <w:pStyle w:val="Anhangberschrift"/>
      </w:pPr>
      <w:r>
        <w:t xml:space="preserve">Anhang F – Tabellenverzeichnis</w:t>
      </w:r>
    </w:p>
    <w:bookmarkEnd w:id="356"/>
    <w:p>
      <w:r>
        <w:fldChar w:fldCharType="begin" w:dirty="true"/>
      </w:r>
      <w:r>
        <w:instrText xml:space="preserve"> TOC \h \z \c "Tabelle" </w:instrText>
      </w:r>
      <w:r>
        <w:fldChar w:fldCharType="separate"/>
      </w:r>
      <w:r>
        <w:t>Rechtsklick &gt; „Felder aktualisieren“, um das Tabellenverzeichnis zu erzeugen.</w:t>
      </w:r>
      <w:r>
        <w:fldChar w:fldCharType="end"/>
      </w:r>
    </w:p>
    <w:bookmarkEnd w:id="3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4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de/amtliches-verzeichnis-der-gebaeudeadressen" TargetMode="External" /><Relationship Type="http://schemas.openxmlformats.org/officeDocument/2006/relationships/hyperlink" Id="rId34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2026-09-23T11:23:05Z</dcterms:created>
  <dcterms:modified xsi:type="dcterms:W3CDTF">2026-09-23T11:23:05Z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