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r>
        <w:t xml:space="preserve">occupation_code</w:t>
      </w:r>
    </w:p>
    <w:p>
      <w:pPr>
        <w:pStyle w:val="Compact"/>
        <w:numPr>
          <w:ilvl w:val="0"/>
          <w:numId w:val="1006"/>
        </w:numPr>
      </w:pPr>
      <w:r>
        <w:t xml:space="preserve">label</w:t>
      </w:r>
    </w:p>
    <w:bookmarkEnd w:id="70"/>
    <w:bookmarkEnd w:id="71"/>
    <w:bookmarkStart w:id="72" w:name="usages-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77"/>
    <w:bookmarkEnd w:id="78"/>
    <w:bookmarkStart w:id="79"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r>
        <w:t xml:space="preserve">role_type_enum</w:t>
      </w:r>
    </w:p>
    <w:p>
      <w:pPr>
        <w:pStyle w:val="Compact"/>
        <w:numPr>
          <w:ilvl w:val="0"/>
          <w:numId w:val="1010"/>
        </w:numPr>
      </w:pPr>
      <w:r>
        <w:t xml:space="preserve">role_label</w:t>
      </w:r>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3"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and</w:t>
      </w:r>
      <w:r>
        <w:t xml:space="preserve"> </w:t>
      </w:r>
      <w:r>
        <w:t xml:space="preserve">“Ausübung politischer Ämter in Bund, Kanton und Gemeinden (ausgenommen Landratsmandat)”</w:t>
      </w:r>
      <w:r>
        <w:t xml:space="preserve"> </w:t>
      </w:r>
      <w:r>
        <w:t xml:space="preserve">(Basel-Landschaft) both become</w:t>
      </w:r>
      <w:r>
        <w:t xml:space="preserve"> </w:t>
      </w:r>
      <w:r>
        <w:rPr>
          <w:rStyle w:val="VerbatimChar"/>
        </w:rPr>
        <w:t xml:space="preserve">public_mandate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One value for the public sector (</w:t>
      </w:r>
      <w:r>
        <w:rPr>
          <w:rStyle w:val="VerbatimChar"/>
          <w:b/>
          <w:bCs/>
        </w:rPr>
        <w:t xml:space="preserve">public_mandate</w:t>
      </w:r>
      <w:r>
        <w:rPr>
          <w:b/>
          <w:bCs/>
        </w:rPr>
        <w:t xml:space="preserve">):</w:t>
      </w:r>
      <w:r>
        <w:t xml:space="preserve"> </w:t>
      </w:r>
      <w:r>
        <w:t xml:space="preserve">An office in an authority and a seat on a state committee deliberately stay in one value. Of 24 registers that can be evaluated, only four keep the two categories apart (Fribourg, Neuchâtel, the city of Bern and one Vaud commune); seven know only</w:t>
      </w:r>
      <w:r>
        <w:t xml:space="preserve"> </w:t>
      </w:r>
      <w:r>
        <w:t xml:space="preserve">“politische Ämter”</w:t>
      </w:r>
      <w:r>
        <w:t xml:space="preserve">, thirteen only</w:t>
      </w:r>
      <w:r>
        <w:t xml:space="preserve"> </w:t>
      </w:r>
      <w:r>
        <w:t xml:space="preserve">“Kommissionen und andere Organe”</w:t>
      </w:r>
      <w:r>
        <w:t xml:space="preserve"> </w:t>
      </w:r>
      <w:r>
        <w:t xml:space="preserve">— which of the two is an accident of the cantonal template. A split would therefore have to be guessed when taking over the data, and every canton would guess differently.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following the categories the disclosure registers maintain (professional activity, seat on a governing body, mandate for an interest group, public mandate, membership).</w:t>
            </w:r>
          </w:p>
        </w:tc>
      </w:tr>
      <w:tr>
        <w:tc>
          <w:tcPr/>
          <w:p>
            <w:pPr>
              <w:pStyle w:val="Compact"/>
            </w:pPr>
            <w:r>
              <w:t xml:space="preserve">organization_name</w:t>
            </w:r>
          </w:p>
        </w:tc>
        <w:tc>
          <w:tcPr/>
          <w:p>
            <w:pPr>
              <w:pStyle w:val="Compact"/>
            </w:pPr>
            <w:r>
              <w:t xml:space="preserve">0..1</w:t>
            </w:r>
            <w:r>
              <w:t xml:space="preserve"> </w:t>
            </w:r>
            <w:r>
              <w:t xml:space="preserve"> </w:t>
            </w:r>
            <w:r>
              <w:t xml:space="preserve">String</w:t>
            </w:r>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r>
              <w:t xml:space="preserve">String</w:t>
            </w:r>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r>
        <w:t xml:space="preserve">organization_uid</w:t>
      </w:r>
    </w:p>
    <w:p>
      <w:pPr>
        <w:pStyle w:val="Compact"/>
        <w:numPr>
          <w:ilvl w:val="0"/>
          <w:numId w:val="1013"/>
        </w:numPr>
      </w:pPr>
      <w:r>
        <w:t xml:space="preserve">organization_name</w:t>
      </w:r>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4"/>
    <w:bookmarkStart w:id="205"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5"/>
    <w:bookmarkStart w:id="206" w:name="X1fe2e7060537e0f318ec4bf318a6c318db76124"/>
    <w:p>
      <w:pPr>
        <w:pStyle w:val="berschrift4"/>
      </w:pPr>
      <w:r>
        <w:t xml:space="preserve">Example InterestLink: Public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7"/>
    <w:bookmarkStart w:id="208"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8"/>
    <w:bookmarkStart w:id="209"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9"/>
    <w:bookmarkStart w:id="210" w:name="X6b6c4727bb1117e1b13bc8303153833b791f9c6"/>
    <w:p>
      <w:pPr>
        <w:pStyle w:val="berschrift4"/>
      </w:pPr>
      <w:r>
        <w:t xml:space="preserve">Example InterestLink: The same value for a seat on a body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10"/>
    <w:bookmarkEnd w:id="211"/>
    <w:bookmarkEnd w:id="212"/>
    <w:bookmarkStart w:id="221" w:name="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0"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Office or seat in the public sector at another federal level or in another public body: a seat in a communal executive or legislature, on a school board or in a parish, and likewise participation in a committee or another body of the Confederation, a canton, a commune or of intercantonal and intercommunal cooperation. Most registers do not distinguish the two cases, which is why the standard keeps them in one value. The mandate for which the disclosure is made is never stated here; whether the person holds the mandate as a delegate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8">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19">
              <w:r>
                <w:rPr>
                  <w:rStyle w:val="Hyperlink"/>
                </w:rPr>
                <w:t xml:space="preserve">act:enum/interest_type/other</w:t>
              </w:r>
            </w:hyperlink>
          </w:p>
        </w:tc>
      </w:tr>
    </w:tbl>
    <w:bookmarkEnd w:id="220"/>
    <w:bookmarkEnd w:id="221"/>
    <w:bookmarkStart w:id="262" w:name="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2">
        <w:r>
          <w:rPr>
            <w:rStyle w:val="Hyperlink"/>
          </w:rPr>
          <w:t xml:space="preserve">act:LegalFormEnum</w:t>
        </w:r>
      </w:hyperlink>
    </w:p>
    <w:bookmarkStart w:id="261"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2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3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4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5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0">
              <w:r>
                <w:rPr>
                  <w:rStyle w:val="Hyperlink"/>
                </w:rPr>
                <w:t xml:space="preserve">https://register.ld.admin.ch/i14y/concept/legalForm/0571</w:t>
              </w:r>
            </w:hyperlink>
          </w:p>
        </w:tc>
      </w:tr>
    </w:tbl>
    <w:bookmarkEnd w:id="261"/>
    <w:p>
      <w:r>
        <w:br w:type="page"/>
      </w:r>
    </w:p>
    <w:bookmarkEnd w:id="262"/>
    <w:bookmarkEnd w:id="263"/>
    <w:bookmarkStart w:id="302" w:name="shared-elements"/>
    <w:p>
      <w:pPr>
        <w:pStyle w:val="berschrift1"/>
      </w:pPr>
      <w:r>
        <w:t xml:space="preserve">Shared Elements</w:t>
      </w:r>
    </w:p>
    <w:bookmarkStart w:id="264"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4"/>
    <w:bookmarkStart w:id="268" w:name="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265"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r>
        <w:t xml:space="preserve">local_id</w:t>
      </w:r>
    </w:p>
    <w:p>
      <w:pPr>
        <w:pStyle w:val="Compact"/>
        <w:numPr>
          <w:ilvl w:val="0"/>
          <w:numId w:val="1015"/>
        </w:numPr>
      </w:pPr>
      <w:r>
        <w:t xml:space="preserve">global_uri</w:t>
      </w:r>
    </w:p>
    <w:bookmarkEnd w:id="265"/>
    <w:bookmarkEnd w:id="266"/>
    <w:bookmarkStart w:id="26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7"/>
    <w:bookmarkEnd w:id="268"/>
    <w:bookmarkStart w:id="272" w:name="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0"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269"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r>
        <w:t xml:space="preserve">local_id</w:t>
      </w:r>
    </w:p>
    <w:p>
      <w:pPr>
        <w:pStyle w:val="Compact"/>
        <w:numPr>
          <w:ilvl w:val="0"/>
          <w:numId w:val="1016"/>
        </w:numPr>
      </w:pPr>
      <w:r>
        <w:t xml:space="preserve">global_uri</w:t>
      </w:r>
    </w:p>
    <w:bookmarkEnd w:id="269"/>
    <w:bookmarkEnd w:id="270"/>
    <w:bookmarkStart w:id="271"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1"/>
    <w:bookmarkEnd w:id="272"/>
    <w:bookmarkStart w:id="275"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3">
        <w:r>
          <w:rPr>
            <w:rStyle w:val="Hyperlink"/>
          </w:rPr>
          <w:t xml:space="preserve">search API of geo.admin.ch</w:t>
        </w:r>
      </w:hyperlink>
      <w:r>
        <w:t xml:space="preserve"> </w:t>
      </w:r>
      <w:r>
        <w:t xml:space="preserve">or match against the</w:t>
      </w:r>
      <w:r>
        <w:t xml:space="preserve"> </w:t>
      </w:r>
      <w:hyperlink ns1:id="rId274">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5"/>
    <w:bookmarkStart w:id="282" w:name="Address"/>
    <w:p>
      <w:pPr>
        <w:pStyle w:val="berschrift2"/>
      </w:pPr>
      <w:r>
        <w:t xml:space="preserve">Class: Address</w:t>
      </w:r>
    </w:p>
    <w:p>
      <w:pPr>
        <w:pStyle w:val="FirstParagraph"/>
      </w:pPr>
      <w:r>
        <w:rPr>
          <w:i/>
          <w:iCs/>
        </w:rPr>
        <w:t xml:space="preserve">An address with a type (e.g., private address, business address) and a value.</w:t>
      </w:r>
    </w:p>
    <w:bookmarkStart w:id="277"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ISO 3166-1 alpha-2 country code.</w:t>
            </w:r>
          </w:p>
        </w:tc>
      </w:tr>
    </w:tbl>
    <w:bookmarkStart w:id="276"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r>
        <w:t xml:space="preserve">postal_locality</w:t>
      </w:r>
    </w:p>
    <w:p>
      <w:pPr>
        <w:pStyle w:val="Compact"/>
        <w:numPr>
          <w:ilvl w:val="0"/>
          <w:numId w:val="1017"/>
        </w:numPr>
      </w:pPr>
      <w:r>
        <w:t xml:space="preserve">address_uri</w:t>
      </w:r>
    </w:p>
    <w:bookmarkEnd w:id="276"/>
    <w:bookmarkEnd w:id="277"/>
    <w:bookmarkStart w:id="278" w:name="usages-15"/>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278"/>
    <w:bookmarkStart w:id="281" w:name="examples-6"/>
    <w:p>
      <w:pPr>
        <w:pStyle w:val="berschrift3"/>
      </w:pPr>
      <w:r>
        <w:t xml:space="preserve">Examples</w:t>
      </w:r>
    </w:p>
    <w:bookmarkStart w:id="279"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9"/>
    <w:bookmarkStart w:id="280"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0"/>
    <w:bookmarkEnd w:id="281"/>
    <w:bookmarkEnd w:id="282"/>
    <w:bookmarkStart w:id="285" w:name="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3">
        <w:r>
          <w:rPr>
            <w:rStyle w:val="Hyperlink"/>
          </w:rPr>
          <w:t xml:space="preserve">act:AddressTypeEnum</w:t>
        </w:r>
      </w:hyperlink>
    </w:p>
    <w:bookmarkStart w:id="284"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4"/>
    <w:bookmarkEnd w:id="285"/>
    <w:bookmarkStart w:id="288" w:name="Contact"/>
    <w:p>
      <w:pPr>
        <w:pStyle w:val="berschrift2"/>
      </w:pPr>
      <w:r>
        <w:t xml:space="preserve">Class: Contact</w:t>
      </w:r>
    </w:p>
    <w:p>
      <w:pPr>
        <w:pStyle w:val="FirstParagraph"/>
      </w:pPr>
      <w:r>
        <w:rPr>
          <w:i/>
          <w:iCs/>
        </w:rPr>
        <w:t xml:space="preserve">Contact information of a person indicating a type (e.g., email, LinkedIn) and a value.</w:t>
      </w:r>
    </w:p>
    <w:bookmarkStart w:id="28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Assign a label to a structured piece of information (e.g., display name, position, etc.).</w:t>
            </w:r>
          </w:p>
        </w:tc>
      </w:tr>
    </w:tbl>
    <w:bookmarkEnd w:id="286"/>
    <w:bookmarkStart w:id="287" w:name="usages-1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287"/>
    <w:bookmarkEnd w:id="288"/>
    <w:bookmarkStart w:id="289" w:name="mixin-classes"/>
    <w:p>
      <w:pPr>
        <w:pStyle w:val="berschrift2"/>
      </w:pPr>
      <w:r>
        <w:t xml:space="preserve">Mixin classes</w:t>
      </w:r>
    </w:p>
    <w:p>
      <w:pPr>
        <w:pStyle w:val="FirstParagraph"/>
      </w:pPr>
      <w:r>
        <w:t xml:space="preserve">Four classes carry no data of their own; they bundle slots that look the same across many classes — the identification of an entity, the identification of a reference, the temporal validity, and the creation and modification dates. They come from the specialist group’s common schema (eCH-0292) and are imported by the group’s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four sections below explain what stands behind that note.</w:t>
      </w:r>
    </w:p>
    <w:bookmarkEnd w:id="289"/>
    <w:bookmarkStart w:id="292" w:name="HasIdentification"/>
    <w:p>
      <w:pPr>
        <w:pStyle w:val="berschrift2"/>
      </w:pPr>
      <w:r>
        <w:t xml:space="preserve">Class: HasIdentification</w:t>
      </w:r>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290"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290"/>
    <w:bookmarkStart w:id="291" w:name="mixin-usage"/>
    <w:p>
      <w:pPr>
        <w:pStyle w:val="berschrift3"/>
      </w:pPr>
      <w:r>
        <w:t xml:space="preserve">Mixin Usage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r>
              <w:t xml:space="preserve">Container</w:t>
            </w:r>
          </w:p>
        </w:tc>
        <w:tc>
          <w:tcPr>
            <w:shd w:val="clear" w:color="auto" w:fill="F2F2F2"/>
          </w:tcPr>
          <w:p>
            <w:pPr>
              <w:pStyle w:val="Compact"/>
            </w:pPr>
            <w:r>
              <w:t xml:space="preserve">Container for political actors, groups, and relationships</w:t>
            </w:r>
          </w:p>
        </w:tc>
      </w:tr>
      <w:tr>
        <w:tc>
          <w:tcPr/>
          <w:p>
            <w:pPr>
              <w:pStyle w:val="Compact"/>
            </w:pPr>
            <w:hyperlink w:anchor="Person">
              <w:r>
                <w:rPr>
                  <w:rStyle w:val="Hyperlink"/>
                </w:rPr>
                <w:t xml:space="preserve">Person</w:t>
              </w:r>
            </w:hyperlink>
          </w:p>
        </w:tc>
        <w:tc>
          <w:tcPr/>
          <w:p>
            <w:pPr>
              <w:pStyle w:val="Compact"/>
            </w:pPr>
            <w:r>
              <w:t xml:space="preserve">A person with identifiers, names, addresses, citizenships, and occupations</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A political group, organization, or body (e</w:t>
            </w:r>
          </w:p>
        </w:tc>
      </w:tr>
      <w:tr>
        <w:tc>
          <w:tcPr/>
          <w:p>
            <w:pPr>
              <w:pStyle w:val="Compact"/>
            </w:pPr>
            <w:hyperlink w:anchor="Membership">
              <w:r>
                <w:rPr>
                  <w:rStyle w:val="Hyperlink"/>
                </w:rPr>
                <w:t xml:space="preserve">Membership</w:t>
              </w:r>
            </w:hyperlink>
          </w:p>
        </w:tc>
        <w:tc>
          <w:tcPr/>
          <w:p>
            <w:pPr>
              <w:pStyle w:val="Compact"/>
            </w:pPr>
            <w:r>
              <w:t xml:space="preserve">A membership relationship between a person and a group, representing formal a…</w:t>
            </w:r>
          </w:p>
        </w:tc>
      </w:tr>
      <w:tr>
        <w:tc>
          <w:tcPr>
            <w:shd w:val="clear" w:color="auto" w:fill="F2F2F2"/>
          </w:tcPr>
          <w:p>
            <w:pPr>
              <w:pStyle w:val="Compact"/>
            </w:pPr>
            <w:hyperlink w:anchor="InterestLink">
              <w:r>
                <w:rPr>
                  <w:rStyle w:val="Hyperlink"/>
                </w:rPr>
                <w:t xml:space="preserve">InterestLink</w:t>
              </w:r>
            </w:hyperlink>
          </w:p>
        </w:tc>
        <w:tc>
          <w:tcPr>
            <w:shd w:val="clear" w:color="auto" w:fill="F2F2F2"/>
          </w:tcPr>
          <w:p>
            <w:pPr>
              <w:pStyle w:val="Compact"/>
            </w:pPr>
            <w:r>
              <w:t xml:space="preserve">An interest link (conflict of interest, political financing) of a person to a…</w:t>
            </w:r>
          </w:p>
        </w:tc>
      </w:tr>
      <w:tr>
        <w:tc>
          <w:tcPr/>
          <w:p>
            <w:pPr>
              <w:pStyle w:val="Compact"/>
            </w:pPr>
            <w:hyperlink w:anchor="ElectoralDistrict">
              <w:r>
                <w:rPr>
                  <w:rStyle w:val="Hyperlink"/>
                </w:rPr>
                <w:t xml:space="preserve">ElectoralDistrict</w:t>
              </w:r>
            </w:hyperlink>
          </w:p>
        </w:tc>
        <w:tc>
          <w:tcPr/>
          <w:p>
            <w:pPr>
              <w:pStyle w:val="Compact"/>
            </w:pPr>
            <w:r>
              <w:t xml:space="preserve">Electoral district or region associated with a membership</w:t>
            </w:r>
          </w:p>
        </w:tc>
      </w:tr>
    </w:tbl>
    <w:bookmarkEnd w:id="291"/>
    <w:bookmarkEnd w:id="292"/>
    <w:bookmarkStart w:id="295" w:name="HasReferenceIdentification"/>
    <w:p>
      <w:pPr>
        <w:pStyle w:val="berschrift2"/>
      </w:pPr>
      <w:r>
        <w:t xml:space="preserve">Class: HasReferenceIdentification</w:t>
      </w:r>
    </w:p>
    <w:p>
      <w:pPr>
        <w:pStyle w:val="FirstParagraph"/>
      </w:pPr>
      <w:r>
        <w:rPr>
          <w:i/>
          <w:iCs/>
        </w:rPr>
        <w:t xml:space="preserve">A mixin class that provides the slots with which a reference names the entity it points at. Unlike</w:t>
      </w:r>
      <w:r>
        <w:rPr>
          <w:i/>
          <w:iCs/>
        </w:rPr>
        <w:t xml:space="preserve"> </w:t>
      </w:r>
      <w:r>
        <w:rPr>
          <w:rStyle w:val="VerbatimChar"/>
          <w:i/>
          <w:iCs/>
        </w:rPr>
        <w:t xml:space="preserve">HasIdentification</w:t>
      </w:r>
      <w:r>
        <w:rPr>
          <w:i/>
          <w:iCs/>
        </w:rPr>
        <w:t xml:space="preserve"> </w:t>
      </w:r>
      <w:r>
        <w:rPr>
          <w:i/>
          <w:iCs/>
        </w:rPr>
        <w:t xml:space="preserve">it does not identify the referencing object itself, which is why</w:t>
      </w:r>
      <w:r>
        <w:rPr>
          <w:i/>
          <w:iCs/>
        </w:rPr>
        <w:t xml:space="preserve"> </w:t>
      </w:r>
      <w:r>
        <w:rPr>
          <w:rStyle w:val="VerbatimChar"/>
          <w:i/>
          <w:iCs/>
        </w:rPr>
        <w:t xml:space="preserve">global_uri</w:t>
      </w:r>
      <w:r>
        <w:rPr>
          <w:i/>
          <w:iCs/>
        </w:rPr>
        <w:t xml:space="preserve"> </w:t>
      </w:r>
      <w:r>
        <w:rPr>
          <w:i/>
          <w:iCs/>
        </w:rPr>
        <w:t xml:space="preserve">is neither an identifier here nor mandatory: a system that only holds the local id of the referenced entity states that id instead. A reference class using this mixin should require at least one of the two.</w:t>
      </w:r>
    </w:p>
    <w:bookmarkStart w:id="293"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293"/>
    <w:bookmarkStart w:id="294" w:name="mixin-usage-1"/>
    <w:p>
      <w:pPr>
        <w:pStyle w:val="berschrift3"/>
      </w:pPr>
      <w:r>
        <w:t xml:space="preserve">Mixin Usage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PersonReference">
              <w:r>
                <w:rPr>
                  <w:rStyle w:val="Hyperlink"/>
                </w:rPr>
                <w:t xml:space="preserve">PersonReference</w:t>
              </w:r>
            </w:hyperlink>
          </w:p>
        </w:tc>
        <w:tc>
          <w:tcPr>
            <w:shd w:val="clear" w:color="auto" w:fill="F2F2F2"/>
          </w:tcPr>
          <w:p>
            <w:pPr>
              <w:pStyle w:val="Compact"/>
            </w:pPr>
            <w:r>
              <w:t xml:space="preserve">Lightweight reference to a person with key identification data at time of lin…</w:t>
            </w:r>
          </w:p>
        </w:tc>
      </w:tr>
      <w:tr>
        <w:tc>
          <w:tcPr/>
          <w:p>
            <w:pPr>
              <w:pStyle w:val="Compact"/>
            </w:pPr>
            <w:hyperlink w:anchor="GroupReference">
              <w:r>
                <w:rPr>
                  <w:rStyle w:val="Hyperlink"/>
                </w:rPr>
                <w:t xml:space="preserve">GroupReference</w:t>
              </w:r>
            </w:hyperlink>
          </w:p>
        </w:tc>
        <w:tc>
          <w:tcPr/>
          <w:p>
            <w:pPr>
              <w:pStyle w:val="Compact"/>
            </w:pPr>
            <w:r>
              <w:t xml:space="preserve">Lightweight reference to a group with key identification data at time of link…</w:t>
            </w:r>
          </w:p>
        </w:tc>
      </w:tr>
    </w:tbl>
    <w:bookmarkEnd w:id="294"/>
    <w:bookmarkEnd w:id="295"/>
    <w:bookmarkStart w:id="298" w:name="HasTemporalValidity"/>
    <w:p>
      <w:pPr>
        <w:pStyle w:val="berschrift2"/>
      </w:pPr>
      <w:r>
        <w:t xml:space="preserve">Class: HasTemporalValidity</w:t>
      </w:r>
    </w:p>
    <w:p>
      <w:pPr>
        <w:pStyle w:val="FirstParagraph"/>
      </w:pPr>
      <w:r>
        <w:rPr>
          <w:i/>
          <w:iCs/>
        </w:rPr>
        <w:t xml:space="preserve">A mixin class that provides slots for modeling a temporal validity of information (not of an event).</w:t>
      </w:r>
    </w:p>
    <w:bookmarkStart w:id="296"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from which the information is valid.</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The date until which the information is valid, inclusive.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whether the information is currently valid. Can be useful when this information is explicitly available.</w:t>
            </w:r>
          </w:p>
        </w:tc>
      </w:tr>
    </w:tbl>
    <w:bookmarkEnd w:id="296"/>
    <w:bookmarkStart w:id="297" w:name="mixin-usage-2"/>
    <w:p>
      <w:pPr>
        <w:pStyle w:val="berschrift3"/>
      </w:pPr>
      <w:r>
        <w:t xml:space="preserve">Mixin Usage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A political group, organization, or body (e</w:t>
            </w:r>
          </w:p>
        </w:tc>
      </w:tr>
      <w:tr>
        <w:tc>
          <w:tcPr/>
          <w:p>
            <w:pPr>
              <w:pStyle w:val="Compact"/>
            </w:pPr>
            <w:hyperlink w:anchor="Membership">
              <w:r>
                <w:rPr>
                  <w:rStyle w:val="Hyperlink"/>
                </w:rPr>
                <w:t xml:space="preserve">Membership</w:t>
              </w:r>
            </w:hyperlink>
          </w:p>
        </w:tc>
        <w:tc>
          <w:tcPr/>
          <w:p>
            <w:pPr>
              <w:pStyle w:val="Compact"/>
            </w:pPr>
            <w:r>
              <w:t xml:space="preserve">A membership relationship between a person and a group, representing formal a…</w:t>
            </w:r>
          </w:p>
        </w:tc>
      </w:tr>
      <w:tr>
        <w:tc>
          <w:tcPr>
            <w:shd w:val="clear" w:color="auto" w:fill="F2F2F2"/>
          </w:tcPr>
          <w:p>
            <w:pPr>
              <w:pStyle w:val="Compact"/>
            </w:pPr>
            <w:hyperlink w:anchor="InterestLink">
              <w:r>
                <w:rPr>
                  <w:rStyle w:val="Hyperlink"/>
                </w:rPr>
                <w:t xml:space="preserve">InterestLink</w:t>
              </w:r>
            </w:hyperlink>
          </w:p>
        </w:tc>
        <w:tc>
          <w:tcPr>
            <w:shd w:val="clear" w:color="auto" w:fill="F2F2F2"/>
          </w:tcPr>
          <w:p>
            <w:pPr>
              <w:pStyle w:val="Compact"/>
            </w:pPr>
            <w:r>
              <w:t xml:space="preserve">An interest link (conflict of interest, political financing) of a person to a…</w:t>
            </w:r>
          </w:p>
        </w:tc>
      </w:tr>
      <w:tr>
        <w:tc>
          <w:tcPr/>
          <w:p>
            <w:pPr>
              <w:pStyle w:val="Compact"/>
            </w:pPr>
            <w:hyperlink w:anchor="Name">
              <w:r>
                <w:rPr>
                  <w:rStyle w:val="Hyperlink"/>
                </w:rPr>
                <w:t xml:space="preserve">Name</w:t>
              </w:r>
            </w:hyperlink>
          </w:p>
        </w:tc>
        <w:tc>
          <w:tcPr/>
          <w:p>
            <w:pPr>
              <w:pStyle w:val="Compact"/>
            </w:pPr>
            <w:r>
              <w:t xml:space="preserve">A name with a type (e</w:t>
            </w:r>
          </w:p>
        </w:tc>
      </w:tr>
      <w:tr>
        <w:tc>
          <w:tcPr>
            <w:shd w:val="clear" w:color="auto" w:fill="F2F2F2"/>
          </w:tcPr>
          <w:p>
            <w:pPr>
              <w:pStyle w:val="Compact"/>
            </w:pPr>
            <w:hyperlink w:anchor="Citizenship">
              <w:r>
                <w:rPr>
                  <w:rStyle w:val="Hyperlink"/>
                </w:rPr>
                <w:t xml:space="preserve">Citizenship</w:t>
              </w:r>
            </w:hyperlink>
          </w:p>
        </w:tc>
        <w:tc>
          <w:tcPr>
            <w:shd w:val="clear" w:color="auto" w:fill="F2F2F2"/>
          </w:tcPr>
          <w:p>
            <w:pPr>
              <w:pStyle w:val="Compact"/>
            </w:pPr>
            <w:r>
              <w:t xml:space="preserve">Citizenship (also used for Nationality) of a person indicating the country an…</w:t>
            </w:r>
          </w:p>
        </w:tc>
      </w:tr>
      <w:tr>
        <w:tc>
          <w:tcPr/>
          <w:p>
            <w:pPr>
              <w:pStyle w:val="Compact"/>
            </w:pPr>
            <w:hyperlink w:anchor="Gender">
              <w:r>
                <w:rPr>
                  <w:rStyle w:val="Hyperlink"/>
                </w:rPr>
                <w:t xml:space="preserve">Gender</w:t>
              </w:r>
            </w:hyperlink>
          </w:p>
        </w:tc>
        <w:tc>
          <w:tcPr/>
          <w:p>
            <w:pPr>
              <w:pStyle w:val="Compact"/>
            </w:pPr>
            <w:r>
              <w:t xml:space="preserve">Gender of a person indicating a gender code and temporal validity</w:t>
            </w:r>
          </w:p>
        </w:tc>
      </w:tr>
      <w:tr>
        <w:tc>
          <w:tcPr>
            <w:shd w:val="clear" w:color="auto" w:fill="F2F2F2"/>
          </w:tcPr>
          <w:p>
            <w:pPr>
              <w:pStyle w:val="Compact"/>
            </w:pPr>
            <w:hyperlink w:anchor="Occupation">
              <w:r>
                <w:rPr>
                  <w:rStyle w:val="Hyperlink"/>
                </w:rPr>
                <w:t xml:space="preserve">Occupation</w:t>
              </w:r>
            </w:hyperlink>
          </w:p>
        </w:tc>
        <w:tc>
          <w:tcPr>
            <w:shd w:val="clear" w:color="auto" w:fill="F2F2F2"/>
          </w:tcPr>
          <w:p>
            <w:pPr>
              <w:pStyle w:val="Compact"/>
            </w:pPr>
            <w:r>
              <w:t xml:space="preserve">Occupation or profession of a person indicating a label, an ISCO-19 code, whe…</w:t>
            </w:r>
          </w:p>
        </w:tc>
      </w:tr>
      <w:tr>
        <w:tc>
          <w:tcPr/>
          <w:p>
            <w:pPr>
              <w:pStyle w:val="Compact"/>
            </w:pPr>
            <w:hyperlink w:anchor="Training">
              <w:r>
                <w:rPr>
                  <w:rStyle w:val="Hyperlink"/>
                </w:rPr>
                <w:t xml:space="preserve">Training</w:t>
              </w:r>
            </w:hyperlink>
          </w:p>
        </w:tc>
        <w:tc>
          <w:tcPr/>
          <w:p>
            <w:pPr>
              <w:pStyle w:val="Compact"/>
            </w:pPr>
            <w:r>
              <w:t xml:space="preserve">Training or education of a person indicating a type (e</w:t>
            </w:r>
          </w:p>
        </w:tc>
      </w:tr>
    </w:tbl>
    <w:bookmarkEnd w:id="297"/>
    <w:bookmarkEnd w:id="298"/>
    <w:bookmarkStart w:id="301" w:name="HasCreationModificationDates"/>
    <w:p>
      <w:pPr>
        <w:pStyle w:val="berschrift2"/>
      </w:pPr>
      <w:r>
        <w:t xml:space="preserve">Class: HasCreationModificationDates</w:t>
      </w:r>
    </w:p>
    <w:p>
      <w:pPr>
        <w:pStyle w:val="FirstParagraph"/>
      </w:pPr>
      <w:r>
        <w:rPr>
          <w:i/>
          <w:iCs/>
        </w:rPr>
        <w:t xml:space="preserve">A mixin class that provides slots for modeling creation and modification dates of an entity.</w:t>
      </w:r>
    </w:p>
    <w:bookmarkStart w:id="299"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299"/>
    <w:bookmarkStart w:id="300" w:name="mixin-usage-3"/>
    <w:p>
      <w:pPr>
        <w:pStyle w:val="berschrift3"/>
      </w:pPr>
      <w:r>
        <w:t xml:space="preserve">Mixin Usage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mixed into</w:t>
            </w:r>
          </w:p>
        </w:tc>
        <w:tc>
          <w:tcPr/>
          <w:p>
            <w:pPr>
              <w:pStyle w:val="Compact"/>
            </w:pPr>
            <w:r>
              <w:t xml:space="preserve">description</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 person with identifiers, names, addresses, citizenships, and occupations</w:t>
            </w:r>
          </w:p>
        </w:tc>
      </w:tr>
      <w:tr>
        <w:tc>
          <w:tcPr/>
          <w:p>
            <w:pPr>
              <w:pStyle w:val="Compact"/>
            </w:pPr>
            <w:hyperlink w:anchor="Group">
              <w:r>
                <w:rPr>
                  <w:rStyle w:val="Hyperlink"/>
                </w:rPr>
                <w:t xml:space="preserve">Group</w:t>
              </w:r>
            </w:hyperlink>
          </w:p>
        </w:tc>
        <w:tc>
          <w:tcPr/>
          <w:p>
            <w:pPr>
              <w:pStyle w:val="Compact"/>
            </w:pPr>
            <w:r>
              <w:t xml:space="preserve">A political group, organization, or body (e</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A membership relationship between a person and a group, representing formal a…</w:t>
            </w:r>
          </w:p>
        </w:tc>
      </w:tr>
      <w:tr>
        <w:tc>
          <w:tcPr/>
          <w:p>
            <w:pPr>
              <w:pStyle w:val="Compact"/>
            </w:pPr>
            <w:hyperlink w:anchor="InterestLink">
              <w:r>
                <w:rPr>
                  <w:rStyle w:val="Hyperlink"/>
                </w:rPr>
                <w:t xml:space="preserve">InterestLink</w:t>
              </w:r>
            </w:hyperlink>
          </w:p>
        </w:tc>
        <w:tc>
          <w:tcPr/>
          <w:p>
            <w:pPr>
              <w:pStyle w:val="Compact"/>
            </w:pPr>
            <w:r>
              <w:t xml:space="preserve">An interest link (conflict of interest, political financing) of a person to a…</w:t>
            </w:r>
          </w:p>
        </w:tc>
      </w:tr>
    </w:tbl>
    <w:bookmarkEnd w:id="300"/>
    <w:p>
      <w:r>
        <w:br w:type="page"/>
      </w:r>
    </w:p>
    <w:bookmarkEnd w:id="301"/>
    <w:bookmarkEnd w:id="302"/>
    <w:bookmarkStart w:id="317"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308"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303">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304">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305">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306">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307">
              <w:r>
                <w:rPr>
                  <w:rStyle w:val="Hyperlink"/>
                </w:rPr>
                <w:t xml:space="preserve">https://www.ech.ch/de/ech/ech-0297</w:t>
              </w:r>
            </w:hyperlink>
          </w:p>
        </w:tc>
      </w:tr>
    </w:tbl>
    <w:bookmarkEnd w:id="308"/>
    <w:bookmarkStart w:id="310"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309">
              <w:r>
                <w:rPr>
                  <w:rStyle w:val="Hyperlink"/>
                </w:rPr>
                <w:t xml:space="preserve">https://www.ech.ch/de/ech/ech-0108/6.0.0</w:t>
              </w:r>
            </w:hyperlink>
          </w:p>
        </w:tc>
      </w:tr>
    </w:tbl>
    <w:bookmarkEnd w:id="310"/>
    <w:bookmarkStart w:id="316"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31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12">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1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14">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15">
              <w:r>
                <w:rPr>
                  <w:rStyle w:val="Hyperlink"/>
                </w:rPr>
                <w:t xml:space="preserve">https://linkml.io</w:t>
              </w:r>
            </w:hyperlink>
          </w:p>
        </w:tc>
      </w:tr>
    </w:tbl>
    <w:bookmarkEnd w:id="316"/>
    <w:bookmarkEnd w:id="31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12"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15"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14"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09" Target="https://www.ech.ch/de/ech/ech-0108/6.0.0" TargetMode="External" /><Relationship Type="http://schemas.openxmlformats.org/officeDocument/2006/relationships/hyperlink" Id="rId303" Target="https://www.ech.ch/de/ech/ech-0292" TargetMode="External" /><Relationship Type="http://schemas.openxmlformats.org/officeDocument/2006/relationships/hyperlink" Id="rId304" Target="https://www.ech.ch/de/ech/ech-0293" TargetMode="External" /><Relationship Type="http://schemas.openxmlformats.org/officeDocument/2006/relationships/hyperlink" Id="rId305" Target="https://www.ech.ch/de/ech/ech-0295" TargetMode="External" /><Relationship Type="http://schemas.openxmlformats.org/officeDocument/2006/relationships/hyperlink" Id="rId306" Target="https://www.ech.ch/de/ech/ech-0296" TargetMode="External" /><Relationship Type="http://schemas.openxmlformats.org/officeDocument/2006/relationships/hyperlink" Id="rId307" Target="https://www.ech.ch/de/ech/ech-0297" TargetMode="External" /><Relationship Type="http://schemas.openxmlformats.org/officeDocument/2006/relationships/hyperlink" Id="rId311"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1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19" Target="act:enum/interest_type/other"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mandate" TargetMode="External" /><Relationship Type="http://schemas.openxmlformats.org/officeDocument/2006/relationships/hyperlink" Id="rId273"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12" Target="https://ld.admin.ch" TargetMode="External" /><Relationship Type="http://schemas.openxmlformats.org/officeDocument/2006/relationships/hyperlink" Id="rId283"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15"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3" Target="https://register.ld.admin.ch/i14y/concept/legalForm/0101" TargetMode="External" /><Relationship Type="http://schemas.openxmlformats.org/officeDocument/2006/relationships/hyperlink" Id="rId224" Target="https://register.ld.admin.ch/i14y/concept/legalForm/0103" TargetMode="External" /><Relationship Type="http://schemas.openxmlformats.org/officeDocument/2006/relationships/hyperlink" Id="rId225" Target="https://register.ld.admin.ch/i14y/concept/legalForm/0104" TargetMode="External" /><Relationship Type="http://schemas.openxmlformats.org/officeDocument/2006/relationships/hyperlink" Id="rId226" Target="https://register.ld.admin.ch/i14y/concept/legalForm/0105" TargetMode="External" /><Relationship Type="http://schemas.openxmlformats.org/officeDocument/2006/relationships/hyperlink" Id="rId227" Target="https://register.ld.admin.ch/i14y/concept/legalForm/0106" TargetMode="External" /><Relationship Type="http://schemas.openxmlformats.org/officeDocument/2006/relationships/hyperlink" Id="rId228" Target="https://register.ld.admin.ch/i14y/concept/legalForm/0107" TargetMode="External" /><Relationship Type="http://schemas.openxmlformats.org/officeDocument/2006/relationships/hyperlink" Id="rId229" Target="https://register.ld.admin.ch/i14y/concept/legalForm/0108" TargetMode="External" /><Relationship Type="http://schemas.openxmlformats.org/officeDocument/2006/relationships/hyperlink" Id="rId230" Target="https://register.ld.admin.ch/i14y/concept/legalForm/0109" TargetMode="External" /><Relationship Type="http://schemas.openxmlformats.org/officeDocument/2006/relationships/hyperlink" Id="rId231" Target="https://register.ld.admin.ch/i14y/concept/legalForm/0110" TargetMode="External" /><Relationship Type="http://schemas.openxmlformats.org/officeDocument/2006/relationships/hyperlink" Id="rId232" Target="https://register.ld.admin.ch/i14y/concept/legalForm/0111" TargetMode="External" /><Relationship Type="http://schemas.openxmlformats.org/officeDocument/2006/relationships/hyperlink" Id="rId233" Target="https://register.ld.admin.ch/i14y/concept/legalForm/0113" TargetMode="External" /><Relationship Type="http://schemas.openxmlformats.org/officeDocument/2006/relationships/hyperlink" Id="rId234" Target="https://register.ld.admin.ch/i14y/concept/legalForm/0114" TargetMode="External" /><Relationship Type="http://schemas.openxmlformats.org/officeDocument/2006/relationships/hyperlink" Id="rId235" Target="https://register.ld.admin.ch/i14y/concept/legalForm/0115" TargetMode="External" /><Relationship Type="http://schemas.openxmlformats.org/officeDocument/2006/relationships/hyperlink" Id="rId236" Target="https://register.ld.admin.ch/i14y/concept/legalForm/0116" TargetMode="External" /><Relationship Type="http://schemas.openxmlformats.org/officeDocument/2006/relationships/hyperlink" Id="rId237" Target="https://register.ld.admin.ch/i14y/concept/legalForm/0117" TargetMode="External" /><Relationship Type="http://schemas.openxmlformats.org/officeDocument/2006/relationships/hyperlink" Id="rId238" Target="https://register.ld.admin.ch/i14y/concept/legalForm/0118" TargetMode="External" /><Relationship Type="http://schemas.openxmlformats.org/officeDocument/2006/relationships/hyperlink" Id="rId239" Target="https://register.ld.admin.ch/i14y/concept/legalForm/0119" TargetMode="External" /><Relationship Type="http://schemas.openxmlformats.org/officeDocument/2006/relationships/hyperlink" Id="rId240" Target="https://register.ld.admin.ch/i14y/concept/legalForm/0151" TargetMode="External" /><Relationship Type="http://schemas.openxmlformats.org/officeDocument/2006/relationships/hyperlink" Id="rId241" Target="https://register.ld.admin.ch/i14y/concept/legalForm/0220" TargetMode="External" /><Relationship Type="http://schemas.openxmlformats.org/officeDocument/2006/relationships/hyperlink" Id="rId242" Target="https://register.ld.admin.ch/i14y/concept/legalForm/0221" TargetMode="External" /><Relationship Type="http://schemas.openxmlformats.org/officeDocument/2006/relationships/hyperlink" Id="rId243" Target="https://register.ld.admin.ch/i14y/concept/legalForm/0222" TargetMode="External" /><Relationship Type="http://schemas.openxmlformats.org/officeDocument/2006/relationships/hyperlink" Id="rId244" Target="https://register.ld.admin.ch/i14y/concept/legalForm/0223" TargetMode="External" /><Relationship Type="http://schemas.openxmlformats.org/officeDocument/2006/relationships/hyperlink" Id="rId245" Target="https://register.ld.admin.ch/i14y/concept/legalForm/0224" TargetMode="External" /><Relationship Type="http://schemas.openxmlformats.org/officeDocument/2006/relationships/hyperlink" Id="rId246" Target="https://register.ld.admin.ch/i14y/concept/legalForm/0230" TargetMode="External" /><Relationship Type="http://schemas.openxmlformats.org/officeDocument/2006/relationships/hyperlink" Id="rId247" Target="https://register.ld.admin.ch/i14y/concept/legalForm/0231" TargetMode="External" /><Relationship Type="http://schemas.openxmlformats.org/officeDocument/2006/relationships/hyperlink" Id="rId248" Target="https://register.ld.admin.ch/i14y/concept/legalForm/0232" TargetMode="External" /><Relationship Type="http://schemas.openxmlformats.org/officeDocument/2006/relationships/hyperlink" Id="rId249" Target="https://register.ld.admin.ch/i14y/concept/legalForm/0233" TargetMode="External" /><Relationship Type="http://schemas.openxmlformats.org/officeDocument/2006/relationships/hyperlink" Id="rId250" Target="https://register.ld.admin.ch/i14y/concept/legalForm/0234" TargetMode="External" /><Relationship Type="http://schemas.openxmlformats.org/officeDocument/2006/relationships/hyperlink" Id="rId251" Target="https://register.ld.admin.ch/i14y/concept/legalForm/0302" TargetMode="External" /><Relationship Type="http://schemas.openxmlformats.org/officeDocument/2006/relationships/hyperlink" Id="rId252" Target="https://register.ld.admin.ch/i14y/concept/legalForm/0312" TargetMode="External" /><Relationship Type="http://schemas.openxmlformats.org/officeDocument/2006/relationships/hyperlink" Id="rId253" Target="https://register.ld.admin.ch/i14y/concept/legalForm/0327" TargetMode="External" /><Relationship Type="http://schemas.openxmlformats.org/officeDocument/2006/relationships/hyperlink" Id="rId254" Target="https://register.ld.admin.ch/i14y/concept/legalForm/0328" TargetMode="External" /><Relationship Type="http://schemas.openxmlformats.org/officeDocument/2006/relationships/hyperlink" Id="rId255" Target="https://register.ld.admin.ch/i14y/concept/legalForm/0329" TargetMode="External" /><Relationship Type="http://schemas.openxmlformats.org/officeDocument/2006/relationships/hyperlink" Id="rId256" Target="https://register.ld.admin.ch/i14y/concept/legalForm/0355" TargetMode="External" /><Relationship Type="http://schemas.openxmlformats.org/officeDocument/2006/relationships/hyperlink" Id="rId257" Target="https://register.ld.admin.ch/i14y/concept/legalForm/0361" TargetMode="External" /><Relationship Type="http://schemas.openxmlformats.org/officeDocument/2006/relationships/hyperlink" Id="rId258" Target="https://register.ld.admin.ch/i14y/concept/legalForm/0362" TargetMode="External" /><Relationship Type="http://schemas.openxmlformats.org/officeDocument/2006/relationships/hyperlink" Id="rId259" Target="https://register.ld.admin.ch/i14y/concept/legalForm/0441" TargetMode="External" /><Relationship Type="http://schemas.openxmlformats.org/officeDocument/2006/relationships/hyperlink" Id="rId26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14"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309" Target="https://www.ech.ch/de/ech/ech-0108/6.0.0" TargetMode="External" /><Relationship Type="http://schemas.openxmlformats.org/officeDocument/2006/relationships/hyperlink" Id="rId303" Target="https://www.ech.ch/de/ech/ech-0292" TargetMode="External" /><Relationship Type="http://schemas.openxmlformats.org/officeDocument/2006/relationships/hyperlink" Id="rId304" Target="https://www.ech.ch/de/ech/ech-0293" TargetMode="External" /><Relationship Type="http://schemas.openxmlformats.org/officeDocument/2006/relationships/hyperlink" Id="rId305" Target="https://www.ech.ch/de/ech/ech-0295" TargetMode="External" /><Relationship Type="http://schemas.openxmlformats.org/officeDocument/2006/relationships/hyperlink" Id="rId306" Target="https://www.ech.ch/de/ech/ech-0296" TargetMode="External" /><Relationship Type="http://schemas.openxmlformats.org/officeDocument/2006/relationships/hyperlink" Id="rId307" Target="https://www.ech.ch/de/ech/ech-0297" TargetMode="External" /><Relationship Type="http://schemas.openxmlformats.org/officeDocument/2006/relationships/hyperlink" Id="rId311"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4" Target="https://www.swisstopo.admin.ch/en/official-directory-of-building-addresses" TargetMode="External" /><Relationship Type="http://schemas.openxmlformats.org/officeDocument/2006/relationships/hyperlink" Id="rId31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2026-08-10T09:19:28Z</dcterms:created>
  <dcterms:modified xsi:type="dcterms:W3CDTF">2026-08-10T09:19:28Z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