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r>
        <w:t xml:space="preserve">occupation_code</w:t>
      </w:r>
    </w:p>
    <w:p>
      <w:pPr>
        <w:pStyle w:val="Compact"/>
        <w:numPr>
          <w:ilvl w:val="0"/>
          <w:numId w:val="1006"/>
        </w:numPr>
      </w:pPr>
      <w:r>
        <w:t xml:space="preserve">label</w:t>
      </w:r>
    </w:p>
    <w:bookmarkEnd w:id="70"/>
    <w:bookmarkEnd w:id="71"/>
    <w:bookmarkStart w:id="72" w:name="utilisations-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77"/>
    <w:bookmarkEnd w:id="78"/>
    <w:bookmarkStart w:id="79" w:name="utilisations-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r>
        <w:t xml:space="preserve">role_type_enum</w:t>
      </w:r>
    </w:p>
    <w:p>
      <w:pPr>
        <w:pStyle w:val="Compact"/>
        <w:numPr>
          <w:ilvl w:val="0"/>
          <w:numId w:val="1010"/>
        </w:numPr>
      </w:pPr>
      <w:r>
        <w:t xml:space="preserve">role_label</w:t>
      </w:r>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3"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2" w:nam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0..1</w:t>
            </w:r>
            <w:r>
              <w:t xml:space="preserve"> </w:t>
            </w:r>
            <w:r>
              <w:t xml:space="preserve"> </w:t>
            </w:r>
            <w:r>
              <w:t xml:space="preserve">String</w:t>
            </w:r>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0..1</w:t>
            </w:r>
            <w:r>
              <w:t xml:space="preserve"> </w:t>
            </w:r>
            <w:r>
              <w:t xml:space="preserve"> </w:t>
            </w:r>
            <w:r>
              <w:t xml:space="preserve">String</w:t>
            </w:r>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r>
        <w:t xml:space="preserve">organization_uid</w:t>
      </w:r>
    </w:p>
    <w:p>
      <w:pPr>
        <w:pStyle w:val="Compact"/>
        <w:numPr>
          <w:ilvl w:val="0"/>
          <w:numId w:val="1013"/>
        </w:numPr>
      </w:pPr>
      <w:r>
        <w:t xml:space="preserve">organization_name</w:t>
      </w:r>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emples-5"/>
    <w:p>
      <w:pPr>
        <w:pStyle w:val="berschrift3"/>
      </w:pPr>
      <w:r>
        <w:t xml:space="preserve">Exemples</w:t>
      </w:r>
    </w:p>
    <w:bookmarkStart w:id="202"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5"/>
    <w:bookmarkStart w:id="206"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1" w:name="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3">
        <w:r>
          <w:rPr>
            <w:rStyle w:val="Hyperlink"/>
          </w:rPr>
          <w:t xml:space="preserve">act:InterestTypeEnum</w:t>
        </w:r>
      </w:hyperlink>
    </w:p>
    <w:bookmarkStart w:id="220"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18">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19">
              <w:r>
                <w:rPr>
                  <w:rStyle w:val="Hyperlink"/>
                </w:rPr>
                <w:t xml:space="preserve">act:enum/interest_type/other</w:t>
              </w:r>
            </w:hyperlink>
          </w:p>
        </w:tc>
      </w:tr>
    </w:tbl>
    <w:bookmarkEnd w:id="220"/>
    <w:bookmarkEnd w:id="221"/>
    <w:bookmarkStart w:id="262" w:name="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2">
        <w:r>
          <w:rPr>
            <w:rStyle w:val="Hyperlink"/>
          </w:rPr>
          <w:t xml:space="preserve">act:LegalFormEnum</w:t>
        </w:r>
      </w:hyperlink>
    </w:p>
    <w:bookmarkStart w:id="261"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3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4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4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5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5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60">
              <w:r>
                <w:rPr>
                  <w:rStyle w:val="Hyperlink"/>
                </w:rPr>
                <w:t xml:space="preserve">https://register.ld.admin.ch/i14y/concept/legalForm/0571</w:t>
              </w:r>
            </w:hyperlink>
          </w:p>
        </w:tc>
      </w:tr>
    </w:tbl>
    <w:bookmarkEnd w:id="261"/>
    <w:p>
      <w:r>
        <w:br w:type="page"/>
      </w:r>
    </w:p>
    <w:bookmarkEnd w:id="262"/>
    <w:bookmarkEnd w:id="263"/>
    <w:bookmarkStart w:id="302" w:name="éléments-partagés"/>
    <w:p>
      <w:pPr>
        <w:pStyle w:val="berschrift1"/>
      </w:pPr>
      <w:r>
        <w:t xml:space="preserve">Éléments partagés</w:t>
      </w:r>
    </w:p>
    <w:bookmarkStart w:id="264"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4"/>
    <w:bookmarkStart w:id="268" w:nam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6"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265"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r>
        <w:t xml:space="preserve">local_id</w:t>
      </w:r>
    </w:p>
    <w:p>
      <w:pPr>
        <w:pStyle w:val="Compact"/>
        <w:numPr>
          <w:ilvl w:val="0"/>
          <w:numId w:val="1015"/>
        </w:numPr>
      </w:pPr>
      <w:r>
        <w:t xml:space="preserve">global_uri</w:t>
      </w:r>
    </w:p>
    <w:bookmarkEnd w:id="265"/>
    <w:bookmarkEnd w:id="266"/>
    <w:bookmarkStart w:id="267"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7"/>
    <w:bookmarkEnd w:id="268"/>
    <w:bookmarkStart w:id="272" w:nam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70"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269"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r>
        <w:t xml:space="preserve">local_id</w:t>
      </w:r>
    </w:p>
    <w:p>
      <w:pPr>
        <w:pStyle w:val="Compact"/>
        <w:numPr>
          <w:ilvl w:val="0"/>
          <w:numId w:val="1016"/>
        </w:numPr>
      </w:pPr>
      <w:r>
        <w:t xml:space="preserve">global_uri</w:t>
      </w:r>
    </w:p>
    <w:bookmarkEnd w:id="269"/>
    <w:bookmarkEnd w:id="270"/>
    <w:bookmarkStart w:id="271"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1"/>
    <w:bookmarkEnd w:id="272"/>
    <w:bookmarkStart w:id="275"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3">
        <w:r>
          <w:rPr>
            <w:rStyle w:val="Hyperlink"/>
          </w:rPr>
          <w:t xml:space="preserve">API de recherche de geo.admin.ch</w:t>
        </w:r>
      </w:hyperlink>
      <w:r>
        <w:t xml:space="preserve"> </w:t>
      </w:r>
      <w:r>
        <w:t xml:space="preserve">ou procéder à un rapprochement avec le</w:t>
      </w:r>
      <w:r>
        <w:t xml:space="preserve"> </w:t>
      </w:r>
      <w:hyperlink ns1:id="rId274">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5"/>
    <w:bookmarkStart w:id="282" w:nam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Code de pays ISO 3166-1 alpha-2.</w:t>
            </w:r>
          </w:p>
        </w:tc>
      </w:tr>
    </w:tbl>
    <w:bookmarkStart w:id="276"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r>
        <w:t xml:space="preserve">postal_locality</w:t>
      </w:r>
    </w:p>
    <w:p>
      <w:pPr>
        <w:pStyle w:val="Compact"/>
        <w:numPr>
          <w:ilvl w:val="0"/>
          <w:numId w:val="1017"/>
        </w:numPr>
      </w:pPr>
      <w:r>
        <w:t xml:space="preserve">address_uri</w:t>
      </w:r>
    </w:p>
    <w:bookmarkEnd w:id="276"/>
    <w:bookmarkEnd w:id="277"/>
    <w:bookmarkStart w:id="278"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278"/>
    <w:bookmarkStart w:id="281" w:name="exemples-6"/>
    <w:p>
      <w:pPr>
        <w:pStyle w:val="berschrift3"/>
      </w:pPr>
      <w:r>
        <w:t xml:space="preserve">Exemples</w:t>
      </w:r>
    </w:p>
    <w:bookmarkStart w:id="279"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9"/>
    <w:bookmarkStart w:id="280"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0"/>
    <w:bookmarkEnd w:id="281"/>
    <w:bookmarkEnd w:id="282"/>
    <w:bookmarkStart w:id="285" w:name="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3">
        <w:r>
          <w:rPr>
            <w:rStyle w:val="Hyperlink"/>
          </w:rPr>
          <w:t xml:space="preserve">act:AddressTypeEnum</w:t>
        </w:r>
      </w:hyperlink>
    </w:p>
    <w:bookmarkStart w:id="284"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4"/>
    <w:bookmarkEnd w:id="285"/>
    <w:bookmarkStart w:id="288" w:nam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6"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bl>
    <w:bookmarkEnd w:id="286"/>
    <w:bookmarkStart w:id="287" w:name="utilisations-1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287"/>
    <w:bookmarkEnd w:id="288"/>
    <w:bookmarkStart w:id="289" w:name="classes-mixin"/>
    <w:p>
      <w:pPr>
        <w:pStyle w:val="berschrift2"/>
      </w:pPr>
      <w:r>
        <w:t xml:space="preserve">Classes mixin</w:t>
      </w:r>
    </w:p>
    <w:p>
      <w:pPr>
        <w:pStyle w:val="FirstParagraph"/>
      </w:pPr>
      <w:r>
        <w:t xml:space="preserve">Quatre classes ne portent pas de données propres : elles regroupent des slots qui se présentent de la même manière dans de nombreuses classes — l’identification d’une entité, l’identification d’une référence, la validité temporelle ainsi que les dates de création et de modification. Elles proviennent du schéma commun du groupe spécialisé (eCH-0292) et sont intégrées par les standards du groupe,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quatre sections suivantes expliquent ce qui se cache derrière cette indication.</w:t>
      </w:r>
    </w:p>
    <w:bookmarkEnd w:id="289"/>
    <w:bookmarkStart w:id="292" w:name="HasIdentification"/>
    <w:p>
      <w:pPr>
        <w:pStyle w:val="berschrift2"/>
      </w:pPr>
      <w:r>
        <w:t xml:space="preserve">Classe: HasIdentification</w:t>
      </w:r>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290"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290"/>
    <w:bookmarkStart w:id="291" w:name="utilisation-de-mixin"/>
    <w:p>
      <w:pPr>
        <w:pStyle w:val="berschrift3"/>
      </w:pPr>
      <w:r>
        <w:t xml:space="preserve">Utilisation de mixin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mixed into</w:t>
            </w:r>
          </w:p>
        </w:tc>
        <w:tc>
          <w:tcPr/>
          <w:p>
            <w:pPr>
              <w:pStyle w:val="Compact"/>
            </w:pPr>
            <w:r>
              <w:t xml:space="preserve">description</w:t>
            </w:r>
          </w:p>
        </w:tc>
      </w:tr>
      <w:tr>
        <w:tc>
          <w:tcPr>
            <w:shd w:val="clear" w:color="auto" w:fill="F2F2F2"/>
          </w:tcPr>
          <w:p>
            <w:pPr>
              <w:pStyle w:val="Compact"/>
            </w:pPr>
            <w:r>
              <w:t xml:space="preserve">Container</w:t>
            </w:r>
          </w:p>
        </w:tc>
        <w:tc>
          <w:tcPr>
            <w:shd w:val="clear" w:color="auto" w:fill="F2F2F2"/>
          </w:tcPr>
          <w:p>
            <w:pPr>
              <w:pStyle w:val="Compact"/>
            </w:pPr>
            <w:r>
              <w:t xml:space="preserve">Conteneur pour les acteurs politiques, les groupes et les relations</w:t>
            </w:r>
          </w:p>
        </w:tc>
      </w:tr>
      <w:tr>
        <w:tc>
          <w:tcPr/>
          <w:p>
            <w:pPr>
              <w:pStyle w:val="Compact"/>
            </w:pPr>
            <w:hyperlink w:anchor="Person">
              <w:r>
                <w:rPr>
                  <w:rStyle w:val="Hyperlink"/>
                </w:rPr>
                <w:t xml:space="preserve">Person</w:t>
              </w:r>
            </w:hyperlink>
          </w:p>
        </w:tc>
        <w:tc>
          <w:tcPr/>
          <w:p>
            <w:pPr>
              <w:pStyle w:val="Compact"/>
            </w:pPr>
            <w:r>
              <w:t xml:space="preserve">Une personne avec des identifiants, des noms, des adresses, des nationalités …</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Un groupe, une organisation ou une collectivité politique (p</w:t>
            </w:r>
          </w:p>
        </w:tc>
      </w:tr>
      <w:tr>
        <w:tc>
          <w:tcPr/>
          <w:p>
            <w:pPr>
              <w:pStyle w:val="Compact"/>
            </w:pPr>
            <w:hyperlink w:anchor="Membership">
              <w:r>
                <w:rPr>
                  <w:rStyle w:val="Hyperlink"/>
                </w:rPr>
                <w:t xml:space="preserve">Membership</w:t>
              </w:r>
            </w:hyperlink>
          </w:p>
        </w:tc>
        <w:tc>
          <w:tcPr/>
          <w:p>
            <w:pPr>
              <w:pStyle w:val="Compact"/>
            </w:pPr>
            <w:r>
              <w:t xml:space="preserve">Une relation d’affiliation entre une personne et un groupe, représentant une …</w:t>
            </w:r>
          </w:p>
        </w:tc>
      </w:tr>
      <w:tr>
        <w:tc>
          <w:tcPr>
            <w:shd w:val="clear" w:color="auto" w:fill="F2F2F2"/>
          </w:tcPr>
          <w:p>
            <w:pPr>
              <w:pStyle w:val="Compact"/>
            </w:pPr>
            <w:hyperlink w:anchor="InterestLink">
              <w:r>
                <w:rPr>
                  <w:rStyle w:val="Hyperlink"/>
                </w:rPr>
                <w:t xml:space="preserve">InterestLink</w:t>
              </w:r>
            </w:hyperlink>
          </w:p>
        </w:tc>
        <w:tc>
          <w:tcPr>
            <w:shd w:val="clear" w:color="auto" w:fill="F2F2F2"/>
          </w:tcPr>
          <w:p>
            <w:pPr>
              <w:pStyle w:val="Compact"/>
            </w:pPr>
            <w:r>
              <w:t xml:space="preserve">Un lien d’intérêts (conflit d’intérêts, financement politique) d’une personne…</w:t>
            </w:r>
          </w:p>
        </w:tc>
      </w:tr>
      <w:tr>
        <w:tc>
          <w:tcPr/>
          <w:p>
            <w:pPr>
              <w:pStyle w:val="Compact"/>
            </w:pPr>
            <w:hyperlink w:anchor="ElectoralDistrict">
              <w:r>
                <w:rPr>
                  <w:rStyle w:val="Hyperlink"/>
                </w:rPr>
                <w:t xml:space="preserve">ElectoralDistrict</w:t>
              </w:r>
            </w:hyperlink>
          </w:p>
        </w:tc>
        <w:tc>
          <w:tcPr/>
          <w:p>
            <w:pPr>
              <w:pStyle w:val="Compact"/>
            </w:pPr>
            <w:r>
              <w:t xml:space="preserve">Circonscription ou région électorale associée à une affiliation</w:t>
            </w:r>
          </w:p>
        </w:tc>
      </w:tr>
    </w:tbl>
    <w:bookmarkEnd w:id="291"/>
    <w:bookmarkEnd w:id="292"/>
    <w:bookmarkStart w:id="295" w:name="HasReferenceIdentification"/>
    <w:p>
      <w:pPr>
        <w:pStyle w:val="berschrift2"/>
      </w:pPr>
      <w:r>
        <w:t xml:space="preserve">Classe: HasReferenceIdentification</w:t>
      </w:r>
    </w:p>
    <w:p>
      <w:pPr>
        <w:pStyle w:val="FirstParagraph"/>
      </w:pPr>
      <w:r>
        <w:rPr>
          <w:i/>
          <w:iCs/>
        </w:rPr>
        <w:t xml:space="preserve">Une classe mixin qui fournit les slots par lesquels une référence désigne l’entité vers laquelle elle pointe. Contrairement à</w:t>
      </w:r>
      <w:r>
        <w:rPr>
          <w:i/>
          <w:iCs/>
        </w:rPr>
        <w:t xml:space="preserve"> </w:t>
      </w:r>
      <w:r>
        <w:rPr>
          <w:rStyle w:val="VerbatimChar"/>
          <w:i/>
          <w:iCs/>
        </w:rPr>
        <w:t xml:space="preserve">HasIdentification</w:t>
      </w:r>
      <w:r>
        <w:rPr>
          <w:i/>
          <w:iCs/>
        </w:rPr>
        <w:t xml:space="preserve">, elle n’identifie pas l’objet référençant lui-même ; c’est pourquoi</w:t>
      </w:r>
      <w:r>
        <w:rPr>
          <w:i/>
          <w:iCs/>
        </w:rPr>
        <w:t xml:space="preserve"> </w:t>
      </w:r>
      <w:r>
        <w:rPr>
          <w:rStyle w:val="VerbatimChar"/>
          <w:i/>
          <w:iCs/>
        </w:rPr>
        <w:t xml:space="preserve">global_uri</w:t>
      </w:r>
      <w:r>
        <w:rPr>
          <w:i/>
          <w:iCs/>
        </w:rPr>
        <w:t xml:space="preserve"> </w:t>
      </w:r>
      <w:r>
        <w:rPr>
          <w:i/>
          <w:iCs/>
        </w:rPr>
        <w:t xml:space="preserve">n’y est ni identifiant ni obligatoire : un système qui ne dispose que de l’identifiant local de l’entité référencée indique celui-ci. Une classe de référence utilisant ce mixin doit exiger au moins l’un des deux.</w:t>
      </w:r>
    </w:p>
    <w:bookmarkStart w:id="293"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p>
        </w:tc>
      </w:tr>
    </w:tbl>
    <w:bookmarkEnd w:id="293"/>
    <w:bookmarkStart w:id="294" w:name="utilisation-de-mixin-1"/>
    <w:p>
      <w:pPr>
        <w:pStyle w:val="berschrift3"/>
      </w:pPr>
      <w:r>
        <w:t xml:space="preserve">Utilisation de mixin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mixed into</w:t>
            </w:r>
          </w:p>
        </w:tc>
        <w:tc>
          <w:tcPr/>
          <w:p>
            <w:pPr>
              <w:pStyle w:val="Compact"/>
            </w:pPr>
            <w:r>
              <w:t xml:space="preserve">description</w:t>
            </w:r>
          </w:p>
        </w:tc>
      </w:tr>
      <w:tr>
        <w:tc>
          <w:tcPr>
            <w:shd w:val="clear" w:color="auto" w:fill="F2F2F2"/>
          </w:tcPr>
          <w:p>
            <w:pPr>
              <w:pStyle w:val="Compact"/>
            </w:pPr>
            <w:hyperlink w:anchor="PersonReference">
              <w:r>
                <w:rPr>
                  <w:rStyle w:val="Hyperlink"/>
                </w:rPr>
                <w:t xml:space="preserve">PersonReference</w:t>
              </w:r>
            </w:hyperlink>
          </w:p>
        </w:tc>
        <w:tc>
          <w:tcPr>
            <w:shd w:val="clear" w:color="auto" w:fill="F2F2F2"/>
          </w:tcPr>
          <w:p>
            <w:pPr>
              <w:pStyle w:val="Compact"/>
            </w:pPr>
            <w:r>
              <w:t xml:space="preserve">Référence abrégée à une personne avec les principales données d’identificatio…</w:t>
            </w:r>
          </w:p>
        </w:tc>
      </w:tr>
      <w:tr>
        <w:tc>
          <w:tcPr/>
          <w:p>
            <w:pPr>
              <w:pStyle w:val="Compact"/>
            </w:pPr>
            <w:hyperlink w:anchor="GroupReference">
              <w:r>
                <w:rPr>
                  <w:rStyle w:val="Hyperlink"/>
                </w:rPr>
                <w:t xml:space="preserve">GroupReference</w:t>
              </w:r>
            </w:hyperlink>
          </w:p>
        </w:tc>
        <w:tc>
          <w:tcPr/>
          <w:p>
            <w:pPr>
              <w:pStyle w:val="Compact"/>
            </w:pPr>
            <w:r>
              <w:t xml:space="preserve">Référence abrégée à un groupe avec les principales données d’identification a…</w:t>
            </w:r>
          </w:p>
        </w:tc>
      </w:tr>
    </w:tbl>
    <w:bookmarkEnd w:id="294"/>
    <w:bookmarkEnd w:id="295"/>
    <w:bookmarkStart w:id="298" w:name="HasTemporalValidity"/>
    <w:p>
      <w:pPr>
        <w:pStyle w:val="berschrift2"/>
      </w:pPr>
      <w:r>
        <w:t xml:space="preserve">Classe: HasTemporalValidity</w:t>
      </w:r>
    </w:p>
    <w:p>
      <w:pPr>
        <w:pStyle w:val="FirstParagraph"/>
      </w:pPr>
      <w:r>
        <w:rPr>
          <w:i/>
          <w:iCs/>
        </w:rPr>
        <w:t xml:space="preserve">Une classe mixin qui fournit des slots pour modéliser la validité temporelle d’une information (et non d’un événement).</w:t>
      </w:r>
    </w:p>
    <w:bookmarkStart w:id="296"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p>
        </w:tc>
      </w:tr>
    </w:tbl>
    <w:bookmarkEnd w:id="296"/>
    <w:bookmarkStart w:id="297" w:name="utilisation-de-mixin-2"/>
    <w:p>
      <w:pPr>
        <w:pStyle w:val="berschrift3"/>
      </w:pPr>
      <w:r>
        <w:t xml:space="preserve">Utilisation de mixin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mixed into</w:t>
            </w:r>
          </w:p>
        </w:tc>
        <w:tc>
          <w:tcPr/>
          <w:p>
            <w:pPr>
              <w:pStyle w:val="Compact"/>
            </w:pPr>
            <w:r>
              <w:t xml:space="preserve">description</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Un groupe, une organisation ou une collectivité politique (p</w:t>
            </w:r>
          </w:p>
        </w:tc>
      </w:tr>
      <w:tr>
        <w:tc>
          <w:tcPr/>
          <w:p>
            <w:pPr>
              <w:pStyle w:val="Compact"/>
            </w:pPr>
            <w:hyperlink w:anchor="Membership">
              <w:r>
                <w:rPr>
                  <w:rStyle w:val="Hyperlink"/>
                </w:rPr>
                <w:t xml:space="preserve">Membership</w:t>
              </w:r>
            </w:hyperlink>
          </w:p>
        </w:tc>
        <w:tc>
          <w:tcPr/>
          <w:p>
            <w:pPr>
              <w:pStyle w:val="Compact"/>
            </w:pPr>
            <w:r>
              <w:t xml:space="preserve">Une relation d’affiliation entre une personne et un groupe, représentant une …</w:t>
            </w:r>
          </w:p>
        </w:tc>
      </w:tr>
      <w:tr>
        <w:tc>
          <w:tcPr>
            <w:shd w:val="clear" w:color="auto" w:fill="F2F2F2"/>
          </w:tcPr>
          <w:p>
            <w:pPr>
              <w:pStyle w:val="Compact"/>
            </w:pPr>
            <w:hyperlink w:anchor="InterestLink">
              <w:r>
                <w:rPr>
                  <w:rStyle w:val="Hyperlink"/>
                </w:rPr>
                <w:t xml:space="preserve">InterestLink</w:t>
              </w:r>
            </w:hyperlink>
          </w:p>
        </w:tc>
        <w:tc>
          <w:tcPr>
            <w:shd w:val="clear" w:color="auto" w:fill="F2F2F2"/>
          </w:tcPr>
          <w:p>
            <w:pPr>
              <w:pStyle w:val="Compact"/>
            </w:pPr>
            <w:r>
              <w:t xml:space="preserve">Un lien d’intérêts (conflit d’intérêts, financement politique) d’une personne…</w:t>
            </w:r>
          </w:p>
        </w:tc>
      </w:tr>
      <w:tr>
        <w:tc>
          <w:tcPr/>
          <w:p>
            <w:pPr>
              <w:pStyle w:val="Compact"/>
            </w:pPr>
            <w:hyperlink w:anchor="Name">
              <w:r>
                <w:rPr>
                  <w:rStyle w:val="Hyperlink"/>
                </w:rPr>
                <w:t xml:space="preserve">Name</w:t>
              </w:r>
            </w:hyperlink>
          </w:p>
        </w:tc>
        <w:tc>
          <w:tcPr/>
          <w:p>
            <w:pPr>
              <w:pStyle w:val="Compact"/>
            </w:pPr>
            <w:r>
              <w:t xml:space="preserve">Un nom avec un type (p</w:t>
            </w:r>
          </w:p>
        </w:tc>
      </w:tr>
      <w:tr>
        <w:tc>
          <w:tcPr>
            <w:shd w:val="clear" w:color="auto" w:fill="F2F2F2"/>
          </w:tcPr>
          <w:p>
            <w:pPr>
              <w:pStyle w:val="Compact"/>
            </w:pPr>
            <w:hyperlink w:anchor="Citizenship">
              <w:r>
                <w:rPr>
                  <w:rStyle w:val="Hyperlink"/>
                </w:rPr>
                <w:t xml:space="preserve">Citizenship</w:t>
              </w:r>
            </w:hyperlink>
          </w:p>
        </w:tc>
        <w:tc>
          <w:tcPr>
            <w:shd w:val="clear" w:color="auto" w:fill="F2F2F2"/>
          </w:tcPr>
          <w:p>
            <w:pPr>
              <w:pStyle w:val="Compact"/>
            </w:pPr>
            <w:r>
              <w:t xml:space="preserve">Nationalité (également utilisée pour la citoyenneté) d’une personne indiquant…</w:t>
            </w:r>
          </w:p>
        </w:tc>
      </w:tr>
      <w:tr>
        <w:tc>
          <w:tcPr/>
          <w:p>
            <w:pPr>
              <w:pStyle w:val="Compact"/>
            </w:pPr>
            <w:hyperlink w:anchor="Gender">
              <w:r>
                <w:rPr>
                  <w:rStyle w:val="Hyperlink"/>
                </w:rPr>
                <w:t xml:space="preserve">Gender</w:t>
              </w:r>
            </w:hyperlink>
          </w:p>
        </w:tc>
        <w:tc>
          <w:tcPr/>
          <w:p>
            <w:pPr>
              <w:pStyle w:val="Compact"/>
            </w:pPr>
            <w:r>
              <w:t xml:space="preserve">Sexe d’une personne indiquant un code de sexe et la validité temporelle</w:t>
            </w:r>
          </w:p>
        </w:tc>
      </w:tr>
      <w:tr>
        <w:tc>
          <w:tcPr>
            <w:shd w:val="clear" w:color="auto" w:fill="F2F2F2"/>
          </w:tcPr>
          <w:p>
            <w:pPr>
              <w:pStyle w:val="Compact"/>
            </w:pPr>
            <w:hyperlink w:anchor="Occupation">
              <w:r>
                <w:rPr>
                  <w:rStyle w:val="Hyperlink"/>
                </w:rPr>
                <w:t xml:space="preserve">Occupation</w:t>
              </w:r>
            </w:hyperlink>
          </w:p>
        </w:tc>
        <w:tc>
          <w:tcPr>
            <w:shd w:val="clear" w:color="auto" w:fill="F2F2F2"/>
          </w:tcPr>
          <w:p>
            <w:pPr>
              <w:pStyle w:val="Compact"/>
            </w:pPr>
            <w:r>
              <w:t xml:space="preserve">Métier ou profession d’une personne indiquant un libellé, un code ISCO-19, si…</w:t>
            </w:r>
          </w:p>
        </w:tc>
      </w:tr>
      <w:tr>
        <w:tc>
          <w:tcPr/>
          <w:p>
            <w:pPr>
              <w:pStyle w:val="Compact"/>
            </w:pPr>
            <w:hyperlink w:anchor="Training">
              <w:r>
                <w:rPr>
                  <w:rStyle w:val="Hyperlink"/>
                </w:rPr>
                <w:t xml:space="preserve">Training</w:t>
              </w:r>
            </w:hyperlink>
          </w:p>
        </w:tc>
        <w:tc>
          <w:tcPr/>
          <w:p>
            <w:pPr>
              <w:pStyle w:val="Compact"/>
            </w:pPr>
            <w:r>
              <w:t xml:space="preserve">Formation ou éducation d’une personne indiquant un type (p</w:t>
            </w:r>
          </w:p>
        </w:tc>
      </w:tr>
    </w:tbl>
    <w:bookmarkEnd w:id="297"/>
    <w:bookmarkEnd w:id="298"/>
    <w:bookmarkStart w:id="301" w:name="HasCreationModificationDates"/>
    <w:p>
      <w:pPr>
        <w:pStyle w:val="berschrift2"/>
      </w:pPr>
      <w:r>
        <w:t xml:space="preserve">Classe: HasCreationModificationDates</w:t>
      </w:r>
    </w:p>
    <w:p>
      <w:pPr>
        <w:pStyle w:val="FirstParagraph"/>
      </w:pPr>
      <w:r>
        <w:rPr>
          <w:i/>
          <w:iCs/>
        </w:rPr>
        <w:t xml:space="preserve">Une classe mixin qui fournit des slots pour modéliser les dates de création et de modification d’une entité.</w:t>
      </w:r>
    </w:p>
    <w:bookmarkStart w:id="299"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299"/>
    <w:bookmarkStart w:id="300" w:name="utilisation-de-mixin-3"/>
    <w:p>
      <w:pPr>
        <w:pStyle w:val="berschrift3"/>
      </w:pPr>
      <w:r>
        <w:t xml:space="preserve">Utilisation de mixin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mixed into</w:t>
            </w:r>
          </w:p>
        </w:tc>
        <w:tc>
          <w:tcPr/>
          <w:p>
            <w:pPr>
              <w:pStyle w:val="Compact"/>
            </w:pPr>
            <w:r>
              <w:t xml:space="preserve">description</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Une personne avec des identifiants, des noms, des adresses, des nationalités …</w:t>
            </w:r>
          </w:p>
        </w:tc>
      </w:tr>
      <w:tr>
        <w:tc>
          <w:tcPr/>
          <w:p>
            <w:pPr>
              <w:pStyle w:val="Compact"/>
            </w:pPr>
            <w:hyperlink w:anchor="Group">
              <w:r>
                <w:rPr>
                  <w:rStyle w:val="Hyperlink"/>
                </w:rPr>
                <w:t xml:space="preserve">Group</w:t>
              </w:r>
            </w:hyperlink>
          </w:p>
        </w:tc>
        <w:tc>
          <w:tcPr/>
          <w:p>
            <w:pPr>
              <w:pStyle w:val="Compact"/>
            </w:pPr>
            <w:r>
              <w:t xml:space="preserve">Un groupe, une organisation ou une collectivité politique (p</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Une relation d’affiliation entre une personne et un groupe, représentant une …</w:t>
            </w:r>
          </w:p>
        </w:tc>
      </w:tr>
      <w:tr>
        <w:tc>
          <w:tcPr/>
          <w:p>
            <w:pPr>
              <w:pStyle w:val="Compact"/>
            </w:pPr>
            <w:hyperlink w:anchor="InterestLink">
              <w:r>
                <w:rPr>
                  <w:rStyle w:val="Hyperlink"/>
                </w:rPr>
                <w:t xml:space="preserve">InterestLink</w:t>
              </w:r>
            </w:hyperlink>
          </w:p>
        </w:tc>
        <w:tc>
          <w:tcPr/>
          <w:p>
            <w:pPr>
              <w:pStyle w:val="Compact"/>
            </w:pPr>
            <w:r>
              <w:t xml:space="preserve">Un lien d’intérêts (conflit d’intérêts, financement politique) d’une personne…</w:t>
            </w:r>
          </w:p>
        </w:tc>
      </w:tr>
    </w:tbl>
    <w:bookmarkEnd w:id="300"/>
    <w:p>
      <w:r>
        <w:br w:type="page"/>
      </w:r>
    </w:p>
    <w:bookmarkEnd w:id="301"/>
    <w:bookmarkEnd w:id="302"/>
    <w:bookmarkStart w:id="318"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308"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303">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304">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305">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306">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307">
              <w:r>
                <w:rPr>
                  <w:rStyle w:val="Hyperlink"/>
                </w:rPr>
                <w:t xml:space="preserve">https://www.ech.ch/de/ech/ech-0297</w:t>
              </w:r>
            </w:hyperlink>
          </w:p>
        </w:tc>
      </w:tr>
    </w:tbl>
    <w:bookmarkEnd w:id="308"/>
    <w:bookmarkStart w:id="311"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309">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310">
              <w:r>
                <w:rPr>
                  <w:rStyle w:val="Hyperlink"/>
                </w:rPr>
                <w:t xml:space="preserve">https://www.ech.ch/de/ech/ech-0108/6.0.0</w:t>
              </w:r>
            </w:hyperlink>
          </w:p>
        </w:tc>
      </w:tr>
    </w:tbl>
    <w:bookmarkEnd w:id="311"/>
    <w:bookmarkStart w:id="317"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12">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13">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14">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15">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16">
              <w:r>
                <w:rPr>
                  <w:rStyle w:val="Hyperlink"/>
                </w:rPr>
                <w:t xml:space="preserve">https://linkml.io</w:t>
              </w:r>
            </w:hyperlink>
          </w:p>
        </w:tc>
      </w:tr>
    </w:tbl>
    <w:bookmarkEnd w:id="317"/>
    <w:bookmarkEnd w:id="31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13"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16"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15"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09" Target="https://www.ech.ch/de/ech/ech-0011/9.0.0" TargetMode="External" /><Relationship Type="http://schemas.openxmlformats.org/officeDocument/2006/relationships/hyperlink" Id="rId310" Target="https://www.ech.ch/de/ech/ech-0108/6.0.0" TargetMode="External" /><Relationship Type="http://schemas.openxmlformats.org/officeDocument/2006/relationships/hyperlink" Id="rId303" Target="https://www.ech.ch/de/ech/ech-0292" TargetMode="External" /><Relationship Type="http://schemas.openxmlformats.org/officeDocument/2006/relationships/hyperlink" Id="rId304" Target="https://www.ech.ch/de/ech/ech-0293" TargetMode="External" /><Relationship Type="http://schemas.openxmlformats.org/officeDocument/2006/relationships/hyperlink" Id="rId305" Target="https://www.ech.ch/de/ech/ech-0295" TargetMode="External" /><Relationship Type="http://schemas.openxmlformats.org/officeDocument/2006/relationships/hyperlink" Id="rId306" Target="https://www.ech.ch/de/ech/ech-0296" TargetMode="External" /><Relationship Type="http://schemas.openxmlformats.org/officeDocument/2006/relationships/hyperlink" Id="rId307"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12"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fr/repertoire-officiel-des-adresses-de-batiments" TargetMode="External" /><Relationship Type="http://schemas.openxmlformats.org/officeDocument/2006/relationships/hyperlink" Id="rId314"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13"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16"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15"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09" Target="https://www.ech.ch/de/ech/ech-0011/9.0.0" TargetMode="External" /><Relationship Type="http://schemas.openxmlformats.org/officeDocument/2006/relationships/hyperlink" Id="rId310" Target="https://www.ech.ch/de/ech/ech-0108/6.0.0" TargetMode="External" /><Relationship Type="http://schemas.openxmlformats.org/officeDocument/2006/relationships/hyperlink" Id="rId303" Target="https://www.ech.ch/de/ech/ech-0292" TargetMode="External" /><Relationship Type="http://schemas.openxmlformats.org/officeDocument/2006/relationships/hyperlink" Id="rId304" Target="https://www.ech.ch/de/ech/ech-0293" TargetMode="External" /><Relationship Type="http://schemas.openxmlformats.org/officeDocument/2006/relationships/hyperlink" Id="rId305" Target="https://www.ech.ch/de/ech/ech-0295" TargetMode="External" /><Relationship Type="http://schemas.openxmlformats.org/officeDocument/2006/relationships/hyperlink" Id="rId306" Target="https://www.ech.ch/de/ech/ech-0296" TargetMode="External" /><Relationship Type="http://schemas.openxmlformats.org/officeDocument/2006/relationships/hyperlink" Id="rId307"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12"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fr/repertoire-officiel-des-adresses-de-batiments" TargetMode="External" /><Relationship Type="http://schemas.openxmlformats.org/officeDocument/2006/relationships/hyperlink" Id="rId314"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2026-08-10T09:19:24Z</dcterms:created>
  <dcterms:modified xsi:type="dcterms:W3CDTF">2026-08-10T09:19:24Z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