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Weil die Referenz zusätzlich ein Label aufnehmen kann, bleibt auch eine Liste mehrerer übergeordneter Gruppen lesbar.</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https://bs.die-mitte.ch/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Basel-Stadt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360094098f9a40c2fca752f19483064a660aa77"/>
    <w:p>
      <w:pPr>
        <w:pStyle w:val="berschrift4"/>
      </w:pPr>
      <w:r>
        <w:t xml:space="preserve">Beispiel: Kantonalpartei, welche eine Fraktionsgemeinschaft mitträgt</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2026-08-08T16:54:24Z</dcterms:created>
  <dcterms:modified xsi:type="dcterms:W3CDTF">2026-08-08T16:54:24Z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