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Because the reference can additionally carry a label, a list of several parent groups also remains readable.</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1"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(eCH-0097 format: CHE-XXX.XXX.XXX) from the federal UID 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Reference to the parent groups as a GroupReference, i.e. stated by their local_id or their global_uri.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amples-2"/>
    <w:p>
      <w:pPr>
        <w:pStyle w:val="berschrift3"/>
      </w:pPr>
      <w:r>
        <w:t xml:space="preserve">Examples</w:t>
      </w:r>
    </w:p>
    <w:bookmarkStart w:id="129" w:name="Xe9cf7990ddf67f7af90927a9f17c988deb25341"/>
    <w:p>
      <w:pPr>
        <w:pStyle w:val="berschrift4"/>
      </w:pPr>
      <w:r>
        <w:t xml:space="preserve">Example: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29"/>
    <w:bookmarkStart w:id="130" w:name="X14566152d4571ac52b17ed1522805a7b79cc5cc"/>
    <w:p>
      <w:pPr>
        <w:pStyle w:val="berschrift4"/>
      </w:pPr>
      <w:r>
        <w:t xml:space="preserve">Example: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0"/>
    <w:bookmarkStart w:id="131"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1803687d2e695d451c17838f9b8f5fdcfc18eb4"/>
    <w:p>
      <w:pPr>
        <w:pStyle w:val="berschrift4"/>
      </w:pPr>
      <w:r>
        <w:t xml:space="preserve">Example: Parliamentary group referencing its parliament and supporting parties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https://bs.die-mitte.ch/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Basel-Stadt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6a1d859716af2b5f08595661019ffa36516f826"/>
    <w:p>
      <w:pPr>
        <w:pStyle w:val="berschrift4"/>
      </w:pPr>
      <w:r>
        <w:t xml:space="preserve">Example: Cantonal party co-carrying a joint parliamentary group</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4"/>
    <w:bookmarkStart w:id="135"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5"/>
    <w:bookmarkStart w:id="136"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6"/>
    <w:bookmarkStart w:id="137"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7"/>
    <w:bookmarkStart w:id="138" w:name="Xb0721f2e95d4eece36c7ec1b4ed9c75152ecfaf"/>
    <w:p>
      <w:pPr>
        <w:pStyle w:val="berschrift4"/>
      </w:pPr>
      <w:r>
        <w:t xml:space="preserve">Example: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8"/>
    <w:bookmarkStart w:id="139"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grouptype"/>
    <w:p>
      <w:pPr>
        <w:pStyle w:val="berschrift2"/>
      </w:pPr>
      <w:r>
        <w:t xml:space="preserve">Class: GroupType</w:t>
      </w:r>
    </w:p>
    <w:p>
      <w:pPr>
        <w:pStyle w:val="FirstParagraph"/>
      </w:pPr>
      <w:r>
        <w:rPr>
          <w:i/>
          <w:iCs/>
        </w:rPr>
        <w:t xml:space="preserve">Type of group (e.g., party, committee, parliament, department).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2"/>
    <w:bookmarkStart w:id="14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Three rules govern the types of political groups and organizations.</w:t>
      </w:r>
    </w:p>
    <w:p>
      <w:pPr>
        <w:pStyle w:val="Textkrper"/>
      </w:pPr>
      <w:r>
        <w:rPr>
          <w:i/>
          <w:iCs/>
        </w:rPr>
        <w:t xml:space="preserve">The value states the political function; the designation used locally belongs in the group’s label. Büro, Ratsleitung and Ufficio presidenziale therefore all take the value</w:t>
      </w:r>
      <w:r>
        <w:rPr>
          <w:i/>
          <w:iCs/>
        </w:rPr>
        <w:t xml:space="preserve"> </w:t>
      </w:r>
      <w:r>
        <w:rPr>
          <w:rStyle w:val="VerbatimChar"/>
          <w:i/>
          <w:iCs/>
        </w:rPr>
        <w:t xml:space="preserve">council_bureau</w:t>
      </w:r>
      <w:r>
        <w:rPr>
          <w:i/>
          <w:iCs/>
        </w:rPr>
        <w:t xml:space="preserve">.</w:t>
      </w:r>
    </w:p>
    <w:p>
      <w:pPr>
        <w:pStyle w:val="Textkrper"/>
      </w:pPr>
      <w:r>
        <w:rPr>
          <w:i/>
          <w:iCs/>
        </w:rPr>
        <w:t xml:space="preserve">Related values share a prefix. The</w:t>
      </w:r>
      <w:r>
        <w:rPr>
          <w:i/>
          <w:iCs/>
        </w:rPr>
        <w:t xml:space="preserve"> </w:t>
      </w:r>
      <w:r>
        <w:rPr>
          <w:rStyle w:val="VerbatimChar"/>
          <w:i/>
          <w:iCs/>
        </w:rPr>
        <w:t xml:space="preserve">council_</w:t>
      </w:r>
      <w:r>
        <w:rPr>
          <w:i/>
          <w:iCs/>
        </w:rPr>
        <w:t xml:space="preserve"> </w:t>
      </w:r>
      <w:r>
        <w:rPr>
          <w:i/>
          <w:iCs/>
        </w:rPr>
        <w:t xml:space="preserve">family does not distinguish by council: a state chancellery and parliamentary services are both</w:t>
      </w:r>
      <w:r>
        <w:rPr>
          <w:i/>
          <w:iCs/>
        </w:rPr>
        <w:t xml:space="preserve"> </w:t>
      </w:r>
      <w:r>
        <w:rPr>
          <w:rStyle w:val="VerbatimChar"/>
          <w:i/>
          <w:iCs/>
        </w:rPr>
        <w:t xml:space="preserve">council_secretariat</w:t>
      </w:r>
      <w:r>
        <w:rPr>
          <w:i/>
          <w:iCs/>
        </w:rPr>
        <w:t xml:space="preserve">, and the affiliation follows from</w:t>
      </w:r>
      <w:r>
        <w:rPr>
          <w:i/>
          <w:iCs/>
        </w:rPr>
        <w:t xml:space="preserve"> </w:t>
      </w:r>
      <w:r>
        <w:rPr>
          <w:rStyle w:val="VerbatimChar"/>
          <w:i/>
          <w:iCs/>
        </w:rPr>
        <w:t xml:space="preserve">parent_groups</w:t>
      </w:r>
      <w:r>
        <w:rPr>
          <w:i/>
          <w:iCs/>
        </w:rPr>
        <w:t xml:space="preserve">. It divides into</w:t>
      </w:r>
      <w:r>
        <w:rPr>
          <w:i/>
          <w:iCs/>
        </w:rPr>
        <w:t xml:space="preserve"> </w:t>
      </w:r>
      <w:r>
        <w:rPr>
          <w:rStyle w:val="VerbatimChar"/>
          <w:i/>
          <w:iCs/>
        </w:rPr>
        <w:t xml:space="preserve">council_presidency</w:t>
      </w:r>
      <w:r>
        <w:rPr>
          <w:i/>
          <w:iCs/>
        </w:rPr>
        <w:t xml:space="preserve"> </w:t>
      </w:r>
      <w:r>
        <w:rPr>
          <w:i/>
          <w:iCs/>
        </w:rPr>
        <w:t xml:space="preserve">for the presidency,</w:t>
      </w:r>
      <w:r>
        <w:rPr>
          <w:i/>
          <w:iCs/>
        </w:rPr>
        <w:t xml:space="preserve"> </w:t>
      </w:r>
      <w:r>
        <w:rPr>
          <w:rStyle w:val="VerbatimChar"/>
          <w:i/>
          <w:iCs/>
        </w:rPr>
        <w:t xml:space="preserve">council_bureau</w:t>
      </w:r>
      <w:r>
        <w:rPr>
          <w:i/>
          <w:iCs/>
        </w:rPr>
        <w:t xml:space="preserve"> </w:t>
      </w:r>
      <w:r>
        <w:rPr>
          <w:i/>
          <w:iCs/>
        </w:rPr>
        <w:t xml:space="preserve">for the managing body extended by the parliamentary group representation, and</w:t>
      </w:r>
      <w:r>
        <w:rPr>
          <w:i/>
          <w:iCs/>
        </w:rPr>
        <w:t xml:space="preserve"> </w:t>
      </w:r>
      <w:r>
        <w:rPr>
          <w:rStyle w:val="VerbatimChar"/>
          <w:i/>
          <w:iCs/>
        </w:rPr>
        <w:t xml:space="preserve">council_secretariat</w:t>
      </w:r>
      <w:r>
        <w:rPr>
          <w:i/>
          <w:iCs/>
        </w:rPr>
        <w:t xml:space="preserve"> </w:t>
      </w:r>
      <w:r>
        <w:rPr>
          <w:i/>
          <w:iCs/>
        </w:rPr>
        <w:t xml:space="preserve">for the administrative unit staffed by employees. The</w:t>
      </w:r>
      <w:r>
        <w:rPr>
          <w:i/>
          <w:iCs/>
        </w:rPr>
        <w:t xml:space="preserve"> </w:t>
      </w:r>
      <w:r>
        <w:rPr>
          <w:rStyle w:val="VerbatimChar"/>
          <w:i/>
          <w:iCs/>
        </w:rPr>
        <w:t xml:space="preserve">committee_</w:t>
      </w:r>
      <w:r>
        <w:rPr>
          <w:i/>
          <w:iCs/>
        </w:rPr>
        <w:t xml:space="preserve"> </w:t>
      </w:r>
      <w:r>
        <w:rPr>
          <w:i/>
          <w:iCs/>
        </w:rPr>
        <w:t xml:space="preserve">family follows the same pattern, with</w:t>
      </w:r>
      <w:r>
        <w:rPr>
          <w:i/>
          <w:iCs/>
        </w:rPr>
        <w:t xml:space="preserve"> </w:t>
      </w:r>
      <w:r>
        <w:rPr>
          <w:rStyle w:val="VerbatimChar"/>
          <w:i/>
          <w:iCs/>
        </w:rPr>
        <w:t xml:space="preserve">committee</w:t>
      </w:r>
      <w:r>
        <w:rPr>
          <w:i/>
          <w:iCs/>
        </w:rPr>
        <w:t xml:space="preserve"> </w:t>
      </w:r>
      <w:r>
        <w:rPr>
          <w:i/>
          <w:iCs/>
        </w:rPr>
        <w:t xml:space="preserve">as the base case.</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Unlike a council, it is not an elected body.</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7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7"/>
    <w:bookmarkEnd w:id="178"/>
    <w:bookmarkEnd w:id="179"/>
    <w:bookmarkStart w:id="18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0">
        <w:r>
          <w:rPr>
            <w:rStyle w:val="Hyperlink"/>
          </w:rPr>
          <w:t xml:space="preserve">act:RoleEnum</w:t>
        </w:r>
      </w:hyperlink>
    </w:p>
    <w:bookmarkStart w:id="18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1"/>
    <w:bookmarkEnd w:id="182"/>
    <w:bookmarkStart w:id="18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3"/>
    <w:bookmarkStart w:id="18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amples-3"/>
    <w:p>
      <w:pPr>
        <w:pStyle w:val="berschrift3"/>
      </w:pPr>
      <w:r>
        <w:t xml:space="preserve">Examples</w:t>
      </w:r>
    </w:p>
    <w:bookmarkStart w:id="191" w:name="example-own-company-run-operationally"/>
    <w:p>
      <w:pPr>
        <w:pStyle w:val="berschrift4"/>
      </w:pPr>
      <w:r>
        <w:t xml:space="preserve">Example: Own company run operationally</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ca177eb9d235cc65a33e59d509b5244a3caad39"/>
    <w:p>
      <w:pPr>
        <w:pStyle w:val="berschrift4"/>
      </w:pPr>
      <w:r>
        <w:t xml:space="preserve">Example: Unpaid presidency of a political alliance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ecb6c954ebfe22e158718a95dd3fdd2ad9c749"/>
    <w:p>
      <w:pPr>
        <w:pStyle w:val="berschrift4"/>
      </w:pPr>
      <w:r>
        <w:t xml:space="preserve">Example: Board mandate in a holding company</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9a6e0e2eefc49077f89a117414ba15f4a0a271c"/>
    <w:p>
      <w:pPr>
        <w:pStyle w:val="berschrift4"/>
      </w:pPr>
      <w:r>
        <w:t xml:space="preserve">Example: Board mandate in a real estate company</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ba612882967f5f1051e0e947ccb920fdf53613c"/>
    <w:p>
      <w:pPr>
        <w:pStyle w:val="berschrift4"/>
      </w:pPr>
      <w:r>
        <w:t xml:space="preserve">Example: Membership in a sector association</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1cfc18513b282c7811769dea0bc0137096e8647"/>
    <w:p>
      <w:pPr>
        <w:pStyle w:val="berschrift4"/>
      </w:pPr>
      <w:r>
        <w:t xml:space="preserve">Example: Foundation board mandate with the organisations UID</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008ff310cf29a661756979a80e4db33a7a68825"/>
    <w:p>
      <w:pPr>
        <w:pStyle w:val="berschrift4"/>
      </w:pPr>
      <w:r>
        <w:t xml:space="preserve">Example: Advisory board mandate without a governing function</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2473217209ceabee95e6702134755a82f5b1681"/>
    <w:p>
      <w:pPr>
        <w:pStyle w:val="berschrift4"/>
      </w:pPr>
      <w:r>
        <w:t xml:space="preserve">Example: Voluntary involvement in the association carrying a major project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1446a09a48bf66785bd9c29f98683f79eddb096"/>
    <w:p>
      <w:pPr>
        <w:pStyle w:val="berschrift4"/>
      </w:pPr>
      <w:r>
        <w:t xml:space="preserve">Example: Presidency of a trade association</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presidency-of-a-national-party"/>
    <w:p>
      <w:pPr>
        <w:pStyle w:val="berschrift4"/>
      </w:pPr>
      <w:r>
        <w:t xml:space="preserve">Example: Presidency of a national party</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5969bc4851fb65fe74f471e1e5f738a4cb6a72c"/>
    <w:p>
      <w:pPr>
        <w:pStyle w:val="berschrift4"/>
      </w:pPr>
      <w:r>
        <w:t xml:space="preserve">Example: Board mandate in a technology company</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04">
        <w:r>
          <w:rPr>
            <w:rStyle w:val="Hyperlink"/>
          </w:rPr>
          <w:t xml:space="preserve">act:InterestTypeEnum</w:t>
        </w:r>
      </w:hyperlink>
    </w:p>
    <w:bookmarkStart w:id="20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5" w:name="shared-elements"/>
    <w:p>
      <w:pPr>
        <w:pStyle w:val="berschrift1"/>
      </w:pPr>
      <w:r>
        <w:t xml:space="preserve">Shared Elements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52"/>
    <w:bookmarkStart w:id="256"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3"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7"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1" w:name="reused-classes"/>
    <w:p>
      <w:pPr>
        <w:pStyle w:val="berschrift2"/>
      </w:pPr>
      <w:r>
        <w:t xml:space="preserve">Reused Classes</w:t>
      </w:r>
    </w:p>
    <w:bookmarkEnd w:id="261"/>
    <w:bookmarkStart w:id="268" w:name="class-address"/>
    <w:p>
      <w:pPr>
        <w:pStyle w:val="berschrift2"/>
      </w:pPr>
      <w:r>
        <w:t xml:space="preserve">Class: Address</w:t>
      </w:r>
    </w:p>
    <w:p>
      <w:pPr>
        <w:pStyle w:val="FirstParagraph"/>
      </w:pPr>
      <w:r>
        <w:rPr>
          <w:i/>
          <w:iCs/>
        </w:rPr>
        <w:t xml:space="preserve">An address with a type (e.g., private address, business address) and a value.</w:t>
      </w:r>
    </w:p>
    <w:bookmarkStart w:id="26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2"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2"/>
    <w:bookmarkEnd w:id="263"/>
    <w:bookmarkStart w:id="264"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4"/>
    <w:bookmarkStart w:id="267" w:name="examples-4"/>
    <w:p>
      <w:pPr>
        <w:pStyle w:val="berschrift3"/>
      </w:pPr>
      <w:r>
        <w:t xml:space="preserve">Examples</w:t>
      </w:r>
    </w:p>
    <w:bookmarkStart w:id="265"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5"/>
    <w:bookmarkStart w:id="266" w:name="X919a98185a31de67f15b031c37820f8551cb94b"/>
    <w:p>
      <w:pPr>
        <w:pStyle w:val="berschrift4"/>
      </w:pPr>
      <w:r>
        <w:t xml:space="preserve">Example: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6"/>
    <w:bookmarkEnd w:id="267"/>
    <w:bookmarkEnd w:id="268"/>
    <w:bookmarkStart w:id="271"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69">
        <w:r>
          <w:rPr>
            <w:rStyle w:val="Hyperlink"/>
          </w:rPr>
          <w:t xml:space="preserve">act:AddressTypeEnum</w:t>
        </w:r>
      </w:hyperlink>
    </w:p>
    <w:bookmarkStart w:id="270"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70"/>
    <w:bookmarkEnd w:id="271"/>
    <w:bookmarkStart w:id="274"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72"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2"/>
    <w:bookmarkStart w:id="273"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3"/>
    <w:bookmarkEnd w:id="274"/>
    <w:bookmarkEnd w:id="275"/>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2026-08-08T16:54:33Z</dcterms:created>
  <dcterms:modified xsi:type="dcterms:W3CDTF">2026-08-08T16:54:33Z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