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4a056885a91fbf1a8a25f3bd0bf3755cf65e5c8"/>
    <w:p>
      <w:pPr>
        <w:pStyle w:val="berschrift4"/>
      </w:pPr>
      <w:r>
        <w:t xml:space="preserve">Exemple : Chancellerie d’État comme état-major de l’exécutif</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emple-conseil-exécutif-dun-canton"/>
    <w:p>
      <w:pPr>
        <w:pStyle w:val="berschrift4"/>
      </w:pPr>
      <w:r>
        <w:t xml:space="preserve">Exemple : Conseil exécutif d’un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5"/>
    <w:bookmarkStart w:id="136"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7"/>
    <w:bookmarkStart w:id="138"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de manière permanente ou pour décider à sa place. Ce qui la distingue d’une commission parlementaire n’est pas sa position dans la hiérarchie, mais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2"/>
    <w:bookmarkStart w:id="25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6"/>
    <w:bookmarkStart w:id="25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classes-utilisées-à-plusieurs-reprises"/>
    <w:p>
      <w:pPr>
        <w:pStyle w:val="berschrift2"/>
      </w:pPr>
      <w:r>
        <w:t xml:space="preserve">Classes utilisées à plusieurs reprises</w:t>
      </w:r>
    </w:p>
    <w:bookmarkEnd w:id="259"/>
    <w:bookmarkStart w:id="266"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emples-4"/>
    <w:p>
      <w:pPr>
        <w:pStyle w:val="berschrift3"/>
      </w:pPr>
      <w:r>
        <w:t xml:space="preserve">Exemples</w:t>
      </w:r>
    </w:p>
    <w:bookmarkStart w:id="263"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8"/>
    <w:bookmarkEnd w:id="269"/>
    <w:bookmarkStart w:id="27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0"/>
    <w:bookmarkStart w:id="27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2026-07-28T12:16:22Z</dcterms:created>
  <dcterms:modified xsi:type="dcterms:W3CDTF">2026-07-28T12:16:22Z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