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ce91be2c19f83d5e19f91e1fb09b5f250ea8c06"/>
    <w:p>
      <w:pPr>
        <w:pStyle w:val="berschrift5"/>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07201b17e1ecfe4d5dc98afb0cfec65b00be3d5"/>
    <w:p>
      <w:pPr>
        <w:pStyle w:val="berschrift5"/>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has_protocol</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Référence au procès-verbal de cette séance, établi après celle-ci. Seul l’identifiant du procès-verbal est indiqué ; le procès-verbal lui-même est livré dans la liste</w:t>
            </w:r>
            <w:r>
              <w:t xml:space="preserve"> </w:t>
            </w:r>
            <w:r>
              <w:rPr>
                <w:rStyle w:val="VerbatimChar"/>
              </w:rPr>
              <w:t xml:space="preserve">protocols</w:t>
            </w:r>
            <w:r>
              <w:t xml:space="preserve"> </w:t>
            </w:r>
            <w:r>
              <w:t xml:space="preserve">du conteneur. Il constitue une entité à part entière dotée de son propre identifiant et est en règle générale publié après la séance, raison pour laquelle il est référencé et non imbriqué.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51387a0d2bb0d0c39618e44999298a22274e27f"/>
    <w:p>
      <w:pPr>
        <w:pStyle w:val="berschrift5"/>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bdc5475aaf0ef15645faa104ed4d77c6ecd63a4"/>
    <w:p>
      <w:pPr>
        <w:pStyle w:val="berschrift5"/>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Textkrper"/>
      </w:pPr>
      <w:r>
        <w:t xml:space="preserve">Le procès-verbal est</w:t>
      </w:r>
      <w:r>
        <w:t xml:space="preserve"> </w:t>
      </w:r>
      <w:r>
        <w:rPr>
          <w:b/>
          <w:bCs/>
        </w:rPr>
        <w:t xml:space="preserve">référencé et non imbriqué</w:t>
      </w:r>
      <w:r>
        <w:t xml:space="preserve"> </w:t>
      </w:r>
      <w:r>
        <w:t xml:space="preserve">:</w:t>
      </w:r>
      <w:r>
        <w:t xml:space="preserve"> </w:t>
      </w:r>
      <w:r>
        <w:rPr>
          <w:rStyle w:val="VerbatimChar"/>
        </w:rPr>
        <w:t xml:space="preserve">Meeting.has_protocol</w:t>
      </w:r>
      <w:r>
        <w:t xml:space="preserve"> </w:t>
      </w:r>
      <w:r>
        <w:t xml:space="preserve">ne contient que l’identifiant, le procès-verbal lui-même figure comme entrée propre dans</w:t>
      </w:r>
      <w:r>
        <w:t xml:space="preserve"> </w:t>
      </w:r>
      <w:r>
        <w:rPr>
          <w:rStyle w:val="VerbatimChar"/>
        </w:rPr>
        <w:t xml:space="preserve">Container.protocols</w:t>
      </w:r>
      <w:r>
        <w:t xml:space="preserve">. La règle appliquée de bout en bout par la présente norme vaut donc ici aussi : est imbriqué ce qui ne possède pas d’identité propre (par exemple</w:t>
      </w:r>
      <w:r>
        <w:t xml:space="preserve"> </w:t>
      </w:r>
      <w:r>
        <w:rPr>
          <w:rStyle w:val="VerbatimChar"/>
        </w:rPr>
        <w:t xml:space="preserve">PersonReference</w:t>
      </w:r>
      <w:r>
        <w:t xml:space="preserve"> </w:t>
      </w:r>
      <w:r>
        <w:t xml:space="preserve">ou</w:t>
      </w:r>
      <w:r>
        <w:t xml:space="preserve"> </w:t>
      </w:r>
      <w:r>
        <w:rPr>
          <w:rStyle w:val="VerbatimChar"/>
        </w:rPr>
        <w:t xml:space="preserve">GroupReference</w:t>
      </w:r>
      <w:r>
        <w:t xml:space="preserve">), est référencé ce qui en possède une. Le procès-verbal dispose de sa propre</w:t>
      </w:r>
      <w:r>
        <w:t xml:space="preserve"> </w:t>
      </w:r>
      <w:r>
        <w:rPr>
          <w:rStyle w:val="VerbatimChar"/>
        </w:rPr>
        <w:t xml:space="preserve">global_uri</w:t>
      </w:r>
      <w:r>
        <w:t xml:space="preserve"> </w:t>
      </w:r>
      <w:r>
        <w:t xml:space="preserve">et peut être cité de manière autonome ; le Bulletin officiel, par exemple, est accessible à une adresse qui lui est propre. Surtout, il est établi après la séance : imbriqué, il faudrait relivrer la séance entière dès que le procès-verbal existe ; référencé, la livraison ultérieure du seul procès-verbal suffit.</w:t>
      </w:r>
    </w:p>
    <w:p>
      <w:pPr>
        <w:pStyle w:val="Textkrper"/>
      </w:pPr>
      <w:r>
        <w:t xml:space="preserve">À l’intérieur du procès-verbal, les collections restent imbriquées, car elles naissent et sont livrées avec lui. Qui publie des votes ou des interventions indépendamment du procès-verbal les livre à plat dans</w:t>
      </w:r>
      <w:r>
        <w:t xml:space="preserve"> </w:t>
      </w:r>
      <w:r>
        <w:rPr>
          <w:rStyle w:val="VerbatimChar"/>
        </w:rPr>
        <w:t xml:space="preserve">Container.votings</w:t>
      </w:r>
      <w:r>
        <w:t xml:space="preserve"> </w:t>
      </w:r>
      <w:r>
        <w:t xml:space="preserve">ou</w:t>
      </w:r>
      <w:r>
        <w:t xml:space="preserve"> </w:t>
      </w:r>
      <w:r>
        <w:rPr>
          <w:rStyle w:val="VerbatimChar"/>
        </w:rPr>
        <w:t xml:space="preserve">Container.speeches</w:t>
      </w:r>
      <w:r>
        <w:t xml:space="preserve"> </w:t>
      </w:r>
      <w:r>
        <w:t xml:space="preserve">et les relie par</w:t>
      </w:r>
      <w:r>
        <w:t xml:space="preserve"> </w:t>
      </w:r>
      <w:r>
        <w:rPr>
          <w:rStyle w:val="VerbatimChar"/>
        </w:rPr>
        <w:t xml:space="preserve">parent_meeting</w:t>
      </w:r>
      <w:r>
        <w:t xml:space="preserve"> </w:t>
      </w:r>
      <w:r>
        <w:t xml:space="preserve">et</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identifiant du procès-verbal</w:t>
      </w:r>
      <w:r>
        <w:br/>
      </w:r>
      <w:r>
        <w:rPr>
          <w:rStyle w:val="VerbatimChar"/>
        </w:rPr>
        <w:t xml:space="preserve">  ├─ agenda_items   → AgendaItem  (avant : points planifiés, parent_meeting)</w:t>
      </w:r>
      <w:r>
        <w:br/>
      </w:r>
      <w:r>
        <w:rPr>
          <w:rStyle w:val="VerbatimChar"/>
        </w:rPr>
        <w:t xml:space="preserve">  └─ protocols      → Protocol    (après : consignation, parent_meeting)</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emples-5"/>
    <w:p>
      <w:pPr>
        <w:pStyle w:val="berschrift4"/>
      </w:pPr>
      <w:r>
        <w:t xml:space="preserve">Exemples</w:t>
      </w:r>
    </w:p>
    <w:bookmarkStart w:id="141" w:name="Xe58a0b7494aa61ff0d452740b3d33831378941a"/>
    <w:p>
      <w:pPr>
        <w:pStyle w:val="berschrift5"/>
      </w:pPr>
      <w:r>
        <w:t xml:space="preserve">Exemple Protocol : Procès-verbal comme entité à part entière, référencé par la séance</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44"/>
    <w:bookmarkStart w:id="148" w:name="classe-protocolitem"/>
    <w:p>
      <w:pPr>
        <w:pStyle w:val="berschrift3"/>
      </w:pPr>
      <w:r>
        <w:t xml:space="preserve">Classe: ProtocolItem</w:t>
      </w:r>
      <w:r>
        <w:t xml:space="preserve"> </w:t>
      </w:r>
      <w:bookmarkStart w:id="145" w:name="ProtocolItem"/>
      <w:bookmarkEnd w:id="145"/>
    </w:p>
    <w:p>
      <w:pPr>
        <w:pStyle w:val="FirstParagraph"/>
      </w:pPr>
      <w:r>
        <w:rPr>
          <w:i/>
          <w:iCs/>
        </w:rPr>
        <w:t xml:space="preserve">Un point de l’ordre du jour tel qu’il a effectivement été consigné au procès-verbal.</w:t>
      </w:r>
    </w:p>
    <w:bookmarkStart w:id="146"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délibération-commune-jointdebate"/>
    <w:p>
      <w:pPr>
        <w:pStyle w:val="berschrift2"/>
      </w:pPr>
      <w:r>
        <w:t xml:space="preserve">Délibération commune (JointDebate)</w:t>
      </w:r>
    </w:p>
    <w:bookmarkStart w:id="15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50"/>
    <w:bookmarkStart w:id="153" w:name="classe-jointdebate"/>
    <w:p>
      <w:pPr>
        <w:pStyle w:val="berschrift3"/>
      </w:pPr>
      <w:r>
        <w:t xml:space="preserve">Classe: JointDebate</w:t>
      </w:r>
      <w:r>
        <w:t xml:space="preserve"> </w:t>
      </w:r>
      <w:bookmarkStart w:id="151" w:name="JointDebate"/>
      <w:bookmarkEnd w:id="151"/>
    </w:p>
    <w:p>
      <w:pPr>
        <w:pStyle w:val="FirstParagraph"/>
      </w:pPr>
      <w:r>
        <w:rPr>
          <w:i/>
          <w:iCs/>
        </w:rPr>
        <w:t xml:space="preserve">Points de l’ordre du jour traités conjointement.</w:t>
      </w:r>
    </w:p>
    <w:bookmarkStart w:id="152"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2"/>
    <w:bookmarkEnd w:id="153"/>
    <w:bookmarkEnd w:id="154"/>
    <w:bookmarkStart w:id="195" w:name="resolution-décision"/>
    <w:p>
      <w:pPr>
        <w:pStyle w:val="berschrift2"/>
      </w:pPr>
      <w:r>
        <w:t xml:space="preserve">Resolution (décision)</w:t>
      </w:r>
    </w:p>
    <w:bookmarkStart w:id="155"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5"/>
    <w:bookmarkStart w:id="156"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6"/>
    <w:bookmarkStart w:id="165"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7"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7"/>
    <w:bookmarkStart w:id="158"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8"/>
    <w:bookmarkStart w:id="159"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9"/>
    <w:bookmarkStart w:id="160"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60"/>
    <w:bookmarkStart w:id="161"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61"/>
    <w:bookmarkStart w:id="162"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2"/>
    <w:bookmarkStart w:id="163"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3"/>
    <w:bookmarkStart w:id="164"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4"/>
    <w:bookmarkEnd w:id="165"/>
    <w:bookmarkStart w:id="166"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6"/>
    <w:bookmarkStart w:id="167"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7"/>
    <w:bookmarkStart w:id="168"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8"/>
    <w:bookmarkStart w:id="169"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9"/>
    <w:bookmarkStart w:id="170"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70"/>
    <w:bookmarkStart w:id="174" w:name="X6c6c951338de1e00242816ef80136f3152c96fb"/>
    <w:p>
      <w:pPr>
        <w:pStyle w:val="berschrift3"/>
      </w:pPr>
      <w:r>
        <w:t xml:space="preserve">Cas d’application dans différents contextes</w:t>
      </w:r>
    </w:p>
    <w:bookmarkStart w:id="171"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71"/>
    <w:bookmarkStart w:id="172"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2"/>
    <w:bookmarkStart w:id="173"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3"/>
    <w:bookmarkEnd w:id="174"/>
    <w:bookmarkStart w:id="177" w:name="considérations-techniques"/>
    <w:p>
      <w:pPr>
        <w:pStyle w:val="berschrift3"/>
      </w:pPr>
      <w:r>
        <w:t xml:space="preserve">Considérations techniques</w:t>
      </w:r>
    </w:p>
    <w:bookmarkStart w:id="175"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5"/>
    <w:bookmarkStart w:id="176"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6"/>
    <w:bookmarkEnd w:id="177"/>
    <w:bookmarkStart w:id="178"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8"/>
    <w:bookmarkStart w:id="182" w:name="classe-resolution"/>
    <w:p>
      <w:pPr>
        <w:pStyle w:val="berschrift3"/>
      </w:pPr>
      <w:r>
        <w:t xml:space="preserve">Classe: Resolution</w:t>
      </w:r>
      <w:r>
        <w:t xml:space="preserve"> </w:t>
      </w:r>
      <w:bookmarkStart w:id="179" w:name="Resolution"/>
      <w:bookmarkEnd w:id="179"/>
    </w:p>
    <w:p>
      <w:pPr>
        <w:pStyle w:val="FirstParagraph"/>
      </w:pPr>
      <w:r>
        <w:rPr>
          <w:i/>
          <w:iCs/>
        </w:rPr>
        <w:t xml:space="preserve">Une décision prise sur un point de l’ordre du jour, y compris les procédures de vote.</w:t>
      </w:r>
    </w:p>
    <w:bookmarkStart w:id="180"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80"/>
    <w:bookmarkStart w:id="181"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de décision prise sur un point de l’ordre du jour.</w:t>
      </w:r>
    </w:p>
    <w:p>
      <w:pPr>
        <w:pStyle w:val="Textkrper"/>
      </w:pPr>
      <w:r>
        <w:t xml:space="preserve">URI:</w:t>
      </w:r>
      <w:r>
        <w:t xml:space="preserve"> </w:t>
      </w:r>
      <w:hyperlink ns1:id="rId184">
        <w:r>
          <w:rPr>
            <w:rStyle w:val="Hyperlink"/>
          </w:rPr>
          <w:t xml:space="preserve">ops:ResolutionTypeEnum</w:t>
        </w:r>
      </w:hyperlink>
    </w:p>
    <w:bookmarkStart w:id="193"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propositions"/>
    <w:p>
      <w:pPr>
        <w:pStyle w:val="berschrift2"/>
      </w:pPr>
      <w:r>
        <w:t xml:space="preserve">Motion (propositions)</w:t>
      </w:r>
    </w:p>
    <w:bookmarkStart w:id="196" w:name="but"/>
    <w:p>
      <w:pPr>
        <w:pStyle w:val="berschrift3"/>
      </w:pPr>
      <w:r>
        <w:t xml:space="preserve">But</w:t>
      </w:r>
    </w:p>
    <w:p>
      <w:pPr>
        <w:pStyle w:val="FirstParagraph"/>
      </w:pPr>
      <w:r>
        <w:t xml:space="preserve">Saisit les propositions déposées durant la séance (propositions de modification, propositions d’ordre,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7"/>
    <w:bookmarkStart w:id="198"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8"/>
    <w:bookmarkStart w:id="199"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9"/>
    <w:bookmarkStart w:id="202" w:name="classe-motion"/>
    <w:p>
      <w:pPr>
        <w:pStyle w:val="berschrift3"/>
      </w:pPr>
      <w:r>
        <w:t xml:space="preserve">Classe: Motion</w:t>
      </w:r>
      <w:r>
        <w:t xml:space="preserve"> </w:t>
      </w:r>
      <w:bookmarkStart w:id="200" w:name="Motion"/>
      <w:bookmarkEnd w:id="200"/>
    </w:p>
    <w:p>
      <w:pPr>
        <w:pStyle w:val="FirstParagraph"/>
      </w:pPr>
      <w:r>
        <w:rPr>
          <w:i/>
          <w:iCs/>
        </w:rPr>
        <w:t xml:space="preserve">Une proposition formelle déposée au cours des délibérations.</w:t>
      </w:r>
    </w:p>
    <w:bookmarkStart w:id="201"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01"/>
    <w:p>
      <w:r>
        <w:br w:type="page"/>
      </w:r>
    </w:p>
    <w:bookmarkEnd w:id="202"/>
    <w:bookmarkEnd w:id="203"/>
    <w:bookmarkEnd w:id="204"/>
    <w:bookmarkStart w:id="338"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59" w:name="voting-vote"/>
    <w:p>
      <w:pPr>
        <w:pStyle w:val="berschrift2"/>
      </w:pPr>
      <w:r>
        <w:t xml:space="preserve">Voting (vote)</w:t>
      </w:r>
    </w:p>
    <w:bookmarkStart w:id="205"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5"/>
    <w:bookmarkStart w:id="210"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6"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6"/>
    <w:bookmarkStart w:id="207"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7"/>
    <w:bookmarkStart w:id="208"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8"/>
    <w:bookmarkStart w:id="209"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9"/>
    <w:bookmarkEnd w:id="210"/>
    <w:bookmarkStart w:id="211"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1"/>
    <w:bookmarkStart w:id="214"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2"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2"/>
    <w:bookmarkStart w:id="213"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3"/>
    <w:bookmarkEnd w:id="214"/>
    <w:bookmarkStart w:id="218" w:name="résultat-du-vote"/>
    <w:p>
      <w:pPr>
        <w:pStyle w:val="berschrift3"/>
      </w:pPr>
      <w:r>
        <w:t xml:space="preserve">Résultat du vote</w:t>
      </w:r>
    </w:p>
    <w:p>
      <w:pPr>
        <w:pStyle w:val="FirstParagraph"/>
      </w:pPr>
      <w:r>
        <w:t xml:space="preserve">Le résultat est saisi de deux manières :</w:t>
      </w:r>
    </w:p>
    <w:bookmarkStart w:id="215"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5"/>
    <w:bookmarkStart w:id="216"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6"/>
    <w:bookmarkStart w:id="217"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9"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9"/>
    <w:bookmarkStart w:id="220"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20"/>
    <w:bookmarkStart w:id="221"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1"/>
    <w:bookmarkStart w:id="222"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2"/>
    <w:bookmarkEnd w:id="223"/>
    <w:bookmarkStart w:id="224"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4"/>
    <w:bookmarkStart w:id="225"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5"/>
    <w:bookmarkStart w:id="226"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6"/>
    <w:bookmarkStart w:id="227"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7"/>
    <w:bookmarkStart w:id="228"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8"/>
    <w:bookmarkStart w:id="229"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29"/>
    <w:bookmarkStart w:id="238" w:name="classe-voting"/>
    <w:p>
      <w:pPr>
        <w:pStyle w:val="berschrift3"/>
      </w:pPr>
      <w:r>
        <w:t xml:space="preserve">Classe: Voting</w:t>
      </w:r>
      <w:r>
        <w:t xml:space="preserve"> </w:t>
      </w:r>
      <w:bookmarkStart w:id="230" w:name="Voting"/>
      <w:bookmarkEnd w:id="230"/>
    </w:p>
    <w:p>
      <w:pPr>
        <w:pStyle w:val="FirstParagraph"/>
      </w:pPr>
      <w:r>
        <w:rPr>
          <w:i/>
          <w:iCs/>
        </w:rPr>
        <w:t xml:space="preserve">Une procédure de vote avec les voix individuelles et les résultats.</w:t>
      </w:r>
    </w:p>
    <w:bookmarkStart w:id="231"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1"/>
    <w:bookmarkStart w:id="232"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exemples-6"/>
    <w:p>
      <w:pPr>
        <w:pStyle w:val="berschrift4"/>
      </w:pPr>
      <w:r>
        <w:t xml:space="preserve">Exemples</w:t>
      </w:r>
    </w:p>
    <w:bookmarkStart w:id="233"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Type de procédure de vote.</w:t>
      </w:r>
    </w:p>
    <w:p>
      <w:pPr>
        <w:pStyle w:val="Textkrper"/>
      </w:pPr>
      <w:r>
        <w:t xml:space="preserve">URI:</w:t>
      </w:r>
      <w:r>
        <w:t xml:space="preserve"> </w:t>
      </w:r>
      <w:hyperlink ns1:id="rId240">
        <w:r>
          <w:rPr>
            <w:rStyle w:val="Hyperlink"/>
          </w:rPr>
          <w:t xml:space="preserve">ops:VotingTypeEnum</w:t>
        </w:r>
      </w:hyperlink>
    </w:p>
    <w:bookmarkStart w:id="246"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Type de majorité requise pour le vote.</w:t>
      </w:r>
    </w:p>
    <w:p>
      <w:pPr>
        <w:pStyle w:val="Textkrper"/>
      </w:pPr>
      <w:r>
        <w:t xml:space="preserve">URI:</w:t>
      </w:r>
      <w:r>
        <w:t xml:space="preserve"> </w:t>
      </w:r>
      <w:hyperlink ns1:id="rId249">
        <w:r>
          <w:rPr>
            <w:rStyle w:val="Hyperlink"/>
          </w:rPr>
          <w:t xml:space="preserve">ops:MajorityTypeEnum</w:t>
        </w:r>
      </w:hyperlink>
    </w:p>
    <w:bookmarkStart w:id="253"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classe-totalother"/>
    <w:p>
      <w:pPr>
        <w:pStyle w:val="berschrift3"/>
      </w:pPr>
      <w:r>
        <w:t xml:space="preserve">Classe: TotalOther</w:t>
      </w:r>
      <w:r>
        <w:t xml:space="preserve"> </w:t>
      </w:r>
      <w:bookmarkStart w:id="255" w:name="TotalOther"/>
      <w:bookmarkEnd w:id="255"/>
    </w:p>
    <w:p>
      <w:pPr>
        <w:pStyle w:val="FirstParagraph"/>
      </w:pPr>
      <w:r>
        <w:rPr>
          <w:i/>
          <w:iCs/>
        </w:rPr>
        <w:t xml:space="preserve">Décomptes de voix supplémentaires lorsque plusieurs options sont soumises au vote (p. ex. Zurich utilise 5 boutons).</w:t>
      </w:r>
    </w:p>
    <w:bookmarkStart w:id="256"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6"/>
    <w:bookmarkStart w:id="257"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voix-individuelle"/>
    <w:p>
      <w:pPr>
        <w:pStyle w:val="berschrift2"/>
      </w:pPr>
      <w:r>
        <w:t xml:space="preserve">Individual Vote (voix individuelle)</w:t>
      </w:r>
    </w:p>
    <w:bookmarkStart w:id="260"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0"/>
    <w:bookmarkStart w:id="261"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1"/>
    <w:bookmarkStart w:id="262"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2"/>
    <w:bookmarkStart w:id="266"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3"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3"/>
    <w:bookmarkStart w:id="264"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4"/>
    <w:bookmarkStart w:id="265"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5"/>
    <w:bookmarkEnd w:id="266"/>
    <w:bookmarkStart w:id="268"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7"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7"/>
    <w:bookmarkEnd w:id="268"/>
    <w:bookmarkStart w:id="269"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9"/>
    <w:bookmarkStart w:id="270"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0"/>
    <w:bookmarkStart w:id="271"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1"/>
    <w:bookmarkStart w:id="272"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2"/>
    <w:bookmarkStart w:id="273"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3"/>
    <w:bookmarkStart w:id="274"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4"/>
    <w:bookmarkStart w:id="289" w:name="classe-individualvote"/>
    <w:p>
      <w:pPr>
        <w:pStyle w:val="berschrift3"/>
      </w:pPr>
      <w:r>
        <w:t xml:space="preserve">Classe: IndividualVote</w:t>
      </w:r>
      <w:r>
        <w:t xml:space="preserve"> </w:t>
      </w:r>
      <w:bookmarkStart w:id="275" w:name="IndividualVote"/>
      <w:bookmarkEnd w:id="275"/>
    </w:p>
    <w:p>
      <w:pPr>
        <w:pStyle w:val="FirstParagraph"/>
      </w:pPr>
      <w:r>
        <w:rPr>
          <w:i/>
          <w:iCs/>
        </w:rPr>
        <w:t xml:space="preserve">Une voix individuelle exprimée par un membre lors d’une procédure de vote.</w:t>
      </w:r>
    </w:p>
    <w:bookmarkStart w:id="276"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6"/>
    <w:bookmarkStart w:id="277"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exemples-7"/>
    <w:p>
      <w:pPr>
        <w:pStyle w:val="berschrift4"/>
      </w:pPr>
      <w:r>
        <w:t xml:space="preserve">Exemples</w:t>
      </w:r>
    </w:p>
    <w:bookmarkStart w:id="278" w:name="exemple-individualvote-voix-non"/>
    <w:p>
      <w:pPr>
        <w:pStyle w:val="berschrift5"/>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3"/>
    <w:bookmarkStart w:id="284"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4"/>
    <w:bookmarkStart w:id="285"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Type de voix individuelle exprimée par un membre.</w:t>
      </w:r>
    </w:p>
    <w:p>
      <w:pPr>
        <w:pStyle w:val="Textkrper"/>
      </w:pPr>
      <w:r>
        <w:t xml:space="preserve">URI:</w:t>
      </w:r>
      <w:r>
        <w:t xml:space="preserve"> </w:t>
      </w:r>
      <w:hyperlink ns1:id="rId291">
        <w:r>
          <w:rPr>
            <w:rStyle w:val="Hyperlink"/>
          </w:rPr>
          <w:t xml:space="preserve">ops:IndividualVoteTypeEnum</w:t>
        </w:r>
      </w:hyperlink>
    </w:p>
    <w:bookmarkStart w:id="298"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élection"/>
    <w:p>
      <w:pPr>
        <w:pStyle w:val="berschrift2"/>
      </w:pPr>
      <w:r>
        <w:t xml:space="preserve">Election (élection)</w:t>
      </w:r>
    </w:p>
    <w:bookmarkStart w:id="301"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1"/>
    <w:bookmarkStart w:id="302"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2"/>
    <w:bookmarkStart w:id="306"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3"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3"/>
    <w:bookmarkStart w:id="304"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4"/>
    <w:bookmarkStart w:id="305"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5"/>
    <w:bookmarkEnd w:id="306"/>
    <w:bookmarkStart w:id="307"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7"/>
    <w:bookmarkStart w:id="308"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8"/>
    <w:bookmarkStart w:id="309"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9"/>
    <w:bookmarkStart w:id="310"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0"/>
    <w:bookmarkStart w:id="311"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1"/>
    <w:bookmarkStart w:id="312"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2"/>
    <w:bookmarkStart w:id="316"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3"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3"/>
    <w:bookmarkStart w:id="314"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4"/>
    <w:bookmarkStart w:id="315"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5"/>
    <w:bookmarkEnd w:id="316"/>
    <w:bookmarkStart w:id="317"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7"/>
    <w:bookmarkStart w:id="318"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8"/>
    <w:bookmarkStart w:id="319"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9"/>
    <w:bookmarkStart w:id="324" w:name="particularités-des-différentes-élections"/>
    <w:p>
      <w:pPr>
        <w:pStyle w:val="berschrift3"/>
      </w:pPr>
      <w:r>
        <w:t xml:space="preserve">Particularités des différentes élections</w:t>
      </w:r>
    </w:p>
    <w:bookmarkStart w:id="320"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20"/>
    <w:bookmarkStart w:id="321"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1"/>
    <w:bookmarkStart w:id="322"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2"/>
    <w:bookmarkStart w:id="323"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3"/>
    <w:bookmarkEnd w:id="324"/>
    <w:bookmarkStart w:id="325"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5"/>
    <w:bookmarkStart w:id="329" w:name="classe-election"/>
    <w:p>
      <w:pPr>
        <w:pStyle w:val="berschrift3"/>
      </w:pPr>
      <w:r>
        <w:t xml:space="preserve">Classe: Election</w:t>
      </w:r>
      <w:r>
        <w:t xml:space="preserve"> </w:t>
      </w:r>
      <w:bookmarkStart w:id="326" w:name="Election"/>
      <w:bookmarkEnd w:id="326"/>
    </w:p>
    <w:p>
      <w:pPr>
        <w:pStyle w:val="FirstParagraph"/>
      </w:pPr>
      <w:r>
        <w:rPr>
          <w:i/>
          <w:iCs/>
        </w:rPr>
        <w:t xml:space="preserve">Une procédure d’élection visant à pourvoir des fonctions par des personnes.</w:t>
      </w:r>
    </w:p>
    <w:bookmarkStart w:id="327"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7"/>
    <w:bookmarkStart w:id="328"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Type de procédure d’élection.</w:t>
      </w:r>
    </w:p>
    <w:p>
      <w:pPr>
        <w:pStyle w:val="Textkrper"/>
      </w:pPr>
      <w:r>
        <w:t xml:space="preserve">URI:</w:t>
      </w:r>
      <w:r>
        <w:t xml:space="preserve"> </w:t>
      </w:r>
      <w:hyperlink ns1:id="rId331">
        <w:r>
          <w:rPr>
            <w:rStyle w:val="Hyperlink"/>
          </w:rPr>
          <w:t xml:space="preserve">ops:ElectionTypeEnum</w:t>
        </w:r>
      </w:hyperlink>
    </w:p>
    <w:bookmarkStart w:id="335"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3" w:name="attendance-présence"/>
    <w:p>
      <w:pPr>
        <w:pStyle w:val="berschrift2"/>
      </w:pPr>
      <w:r>
        <w:t xml:space="preserve">Attendance (présence)</w:t>
      </w:r>
    </w:p>
    <w:bookmarkStart w:id="339"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9"/>
    <w:bookmarkStart w:id="342" w:name="structure-à-deux-niveaux"/>
    <w:p>
      <w:pPr>
        <w:pStyle w:val="berschrift3"/>
      </w:pPr>
      <w:r>
        <w:t xml:space="preserve">Structure à deux niveaux</w:t>
      </w:r>
    </w:p>
    <w:p>
      <w:pPr>
        <w:pStyle w:val="FirstParagraph"/>
      </w:pPr>
      <w:r>
        <w:t xml:space="preserve">La norme distingue deux niveaux de saisie de la présence :</w:t>
      </w:r>
    </w:p>
    <w:bookmarkStart w:id="340"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40"/>
    <w:bookmarkStart w:id="341"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1"/>
    <w:bookmarkEnd w:id="342"/>
    <w:bookmarkEnd w:id="343"/>
    <w:bookmarkStart w:id="347" w:name="attendance-niveau-agrégé-1"/>
    <w:p>
      <w:pPr>
        <w:pStyle w:val="berschrift2"/>
      </w:pPr>
      <w:r>
        <w:t xml:space="preserve">Attendance (niveau agrégé)</w:t>
      </w:r>
    </w:p>
    <w:bookmarkStart w:id="344"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4"/>
    <w:bookmarkStart w:id="345"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5"/>
    <w:bookmarkStart w:id="346"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6"/>
    <w:bookmarkEnd w:id="347"/>
    <w:bookmarkStart w:id="369" w:name="individualattendance-niveau-individuel-1"/>
    <w:p>
      <w:pPr>
        <w:pStyle w:val="berschrift2"/>
      </w:pPr>
      <w:r>
        <w:t xml:space="preserve">IndividualAttendance (niveau individuel)</w:t>
      </w:r>
    </w:p>
    <w:bookmarkStart w:id="348"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8"/>
    <w:bookmarkStart w:id="350"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9">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50"/>
    <w:bookmarkStart w:id="351"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51"/>
    <w:bookmarkStart w:id="352"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2"/>
    <w:bookmarkStart w:id="353"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3"/>
    <w:bookmarkStart w:id="357" w:name="classe-attendance"/>
    <w:p>
      <w:pPr>
        <w:pStyle w:val="berschrift3"/>
      </w:pPr>
      <w:r>
        <w:t xml:space="preserve">Classe: Attendance</w:t>
      </w:r>
      <w:r>
        <w:t xml:space="preserve"> </w:t>
      </w:r>
      <w:bookmarkStart w:id="354" w:name="Attendance"/>
      <w:bookmarkEnd w:id="354"/>
    </w:p>
    <w:p>
      <w:pPr>
        <w:pStyle w:val="FirstParagraph"/>
      </w:pPr>
      <w:r>
        <w:rPr>
          <w:i/>
          <w:iCs/>
        </w:rPr>
        <w:t xml:space="preserve">Liste de présence agrégée pour une séance (nombre de membres présents, absents, excusés).</w:t>
      </w:r>
    </w:p>
    <w:bookmarkStart w:id="355"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5"/>
    <w:bookmarkStart w:id="356"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classe-individualattendance"/>
    <w:p>
      <w:pPr>
        <w:pStyle w:val="berschrift3"/>
      </w:pPr>
      <w:r>
        <w:t xml:space="preserve">Classe: IndividualAttendance</w:t>
      </w:r>
      <w:r>
        <w:t xml:space="preserve"> </w:t>
      </w:r>
      <w:bookmarkStart w:id="358" w:name="IndividualAttendance"/>
      <w:bookmarkEnd w:id="358"/>
    </w:p>
    <w:p>
      <w:pPr>
        <w:pStyle w:val="FirstParagraph"/>
      </w:pPr>
      <w:r>
        <w:rPr>
          <w:i/>
          <w:iCs/>
        </w:rPr>
        <w:t xml:space="preserve">Constatation individuelle de la présence d’une personne à une séance (rattachée à l’agrégat Attendance parent).</w:t>
      </w:r>
    </w:p>
    <w:bookmarkStart w:id="359"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9"/>
    <w:bookmarkStart w:id="360"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Type de présence individuelle.</w:t>
      </w:r>
    </w:p>
    <w:p>
      <w:pPr>
        <w:pStyle w:val="Textkrper"/>
      </w:pPr>
      <w:r>
        <w:t xml:space="preserve">URI:</w:t>
      </w:r>
      <w:r>
        <w:t xml:space="preserve"> </w:t>
      </w:r>
      <w:hyperlink ns1:id="rId363">
        <w:r>
          <w:rPr>
            <w:rStyle w:val="Hyperlink"/>
          </w:rPr>
          <w:t xml:space="preserve">ops:AttendanceTypeEnum</w:t>
        </w:r>
      </w:hyperlink>
    </w:p>
    <w:bookmarkStart w:id="367"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401" w:name="speech-intervention-prise-de-parole"/>
    <w:p>
      <w:pPr>
        <w:pStyle w:val="berschrift2"/>
      </w:pPr>
      <w:r>
        <w:t xml:space="preserve">Speech (intervention, prise de parole)</w:t>
      </w:r>
    </w:p>
    <w:bookmarkStart w:id="371"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1"/>
    <w:bookmarkStart w:id="376" w:name="types-de-speeches"/>
    <w:p>
      <w:pPr>
        <w:pStyle w:val="berschrift3"/>
      </w:pPr>
      <w:r>
        <w:t xml:space="preserve">Types de Speeches</w:t>
      </w:r>
    </w:p>
    <w:p>
      <w:pPr>
        <w:pStyle w:val="FirstParagraph"/>
      </w:pPr>
      <w:r>
        <w:t xml:space="preserve">Les interventions parlementaires prennent différentes formes :</w:t>
      </w:r>
    </w:p>
    <w:bookmarkStart w:id="372"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2"/>
    <w:bookmarkStart w:id="373"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3"/>
    <w:bookmarkStart w:id="374"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4"/>
    <w:bookmarkStart w:id="375"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5"/>
    <w:bookmarkEnd w:id="376"/>
    <w:bookmarkStart w:id="378"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7"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7"/>
    <w:bookmarkEnd w:id="378"/>
    <w:bookmarkStart w:id="379"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9"/>
    <w:bookmarkStart w:id="380"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0"/>
    <w:bookmarkStart w:id="381"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1"/>
    <w:bookmarkStart w:id="387"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5" w:name="différentes-versions-du-texte"/>
    <w:p>
      <w:pPr>
        <w:pStyle w:val="berschrift4"/>
      </w:pPr>
      <w:r>
        <w:t xml:space="preserve">Différentes versions du texte</w:t>
      </w:r>
    </w:p>
    <w:bookmarkStart w:id="382"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2"/>
    <w:bookmarkStart w:id="383"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3"/>
    <w:bookmarkStart w:id="384"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4"/>
    <w:bookmarkEnd w:id="385"/>
    <w:bookmarkStart w:id="386"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6"/>
    <w:bookmarkEnd w:id="387"/>
    <w:bookmarkStart w:id="391"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8"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8"/>
    <w:bookmarkStart w:id="389"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9"/>
    <w:bookmarkStart w:id="390"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90"/>
    <w:bookmarkEnd w:id="391"/>
    <w:bookmarkStart w:id="392"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2"/>
    <w:bookmarkStart w:id="393"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3"/>
    <w:bookmarkStart w:id="394" w:name="rattachement-à-la-séance"/>
    <w:p>
      <w:pPr>
        <w:pStyle w:val="berschrift3"/>
      </w:pPr>
      <w:r>
        <w:t xml:space="preserve">Rattachement à la séance</w:t>
      </w:r>
    </w:p>
    <w:p>
      <w:pPr>
        <w:pStyle w:val="FirstParagraph"/>
      </w:pPr>
      <w:r>
        <w:rPr>
          <w:rStyle w:val="VerbatimChar"/>
        </w:rPr>
        <w:t xml:space="preserve">parent_meeting</w:t>
      </w:r>
      <w:r>
        <w:t xml:space="preserve"> </w:t>
      </w:r>
      <w:r>
        <w:t xml:space="preserve">et</w:t>
      </w:r>
      <w:r>
        <w:t xml:space="preserve"> </w:t>
      </w:r>
      <w:r>
        <w:rPr>
          <w:rStyle w:val="VerbatimChar"/>
        </w:rPr>
        <w:t xml:space="preserve">parent_agenda_item</w:t>
      </w:r>
      <w:r>
        <w:t xml:space="preserve"> </w:t>
      </w:r>
      <w:r>
        <w:t xml:space="preserve">indiquent au cours de quelle séance et sous quel point de l’ordre du jour une intervention a été prononcée. Les deux sont nécessaires, car une intervention peut être livrée de deux manières : imbriquée dans le procès-verbal, où la séance ressort du</w:t>
      </w:r>
      <w:r>
        <w:t xml:space="preserve"> </w:t>
      </w:r>
      <w:r>
        <w:rPr>
          <w:rStyle w:val="VerbatimChar"/>
        </w:rPr>
        <w:t xml:space="preserve">Protocol</w:t>
      </w:r>
      <w:r>
        <w:t xml:space="preserve"> </w:t>
      </w:r>
      <w:r>
        <w:t xml:space="preserve">environnant mais non le point de l’ordre du jour — ou à plat dans</w:t>
      </w:r>
      <w:r>
        <w:t xml:space="preserve"> </w:t>
      </w:r>
      <w:r>
        <w:rPr>
          <w:rStyle w:val="VerbatimChar"/>
        </w:rPr>
        <w:t xml:space="preserve">Container.speeches</w:t>
      </w:r>
      <w:r>
        <w:t xml:space="preserve">, où tout rattachement ferait défaut sans ces références. Elles portent les mêmes valeurs que pour</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et rendent ainsi l’intervention exploitable indépendamment de sa forme de livraison.</w:t>
      </w:r>
    </w:p>
    <w:bookmarkEnd w:id="394"/>
    <w:bookmarkStart w:id="400" w:name="classe-speech"/>
    <w:p>
      <w:pPr>
        <w:pStyle w:val="berschrift3"/>
      </w:pPr>
      <w:r>
        <w:t xml:space="preserve">Classe: Speech</w:t>
      </w:r>
      <w:r>
        <w:t xml:space="preserve"> </w:t>
      </w:r>
      <w:bookmarkStart w:id="395" w:name="Speech"/>
      <w:bookmarkEnd w:id="395"/>
    </w:p>
    <w:p>
      <w:pPr>
        <w:pStyle w:val="FirstParagraph"/>
      </w:pPr>
      <w:r>
        <w:rPr>
          <w:i/>
          <w:iCs/>
        </w:rPr>
        <w:t xml:space="preserve">Une intervention prononcée au cours d’une séance (également appelée prise de parole).</w:t>
      </w:r>
    </w:p>
    <w:bookmarkStart w:id="396"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à laquelle cet enregistrement se rattache. Pour une séance, il désigne la séance supérieure ; pour un point de l’ordre du jour, un vote, une élection, une intervention ou un procès-verbal, la séance au cours de laquelle l’enregistrement est né.</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du point de l’ordre du jour auquel cet enregistrement se rattache. Pour un point de l’ordre du jour, il construit une hiérarchie de points ; pour un vote, une élection ou une intervention, il désigne le point sous lequel l’enregistrement a été traité.</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6"/>
    <w:bookmarkStart w:id="397"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exemples-8"/>
    <w:p>
      <w:pPr>
        <w:pStyle w:val="berschrift4"/>
      </w:pPr>
      <w:r>
        <w:t xml:space="preserve">Exemples</w:t>
      </w:r>
    </w:p>
    <w:bookmarkStart w:id="398"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7" w:name="textsegment"/>
    <w:p>
      <w:pPr>
        <w:pStyle w:val="berschrift2"/>
      </w:pPr>
      <w:r>
        <w:t xml:space="preserve">TextSegment</w:t>
      </w:r>
    </w:p>
    <w:bookmarkStart w:id="40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3"/>
    <w:bookmarkStart w:id="404"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4"/>
    <w:bookmarkStart w:id="40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5"/>
    <w:bookmarkStart w:id="40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6"/>
    <w:bookmarkEnd w:id="407"/>
    <w:bookmarkStart w:id="419" w:name="media"/>
    <w:p>
      <w:pPr>
        <w:pStyle w:val="berschrift2"/>
      </w:pPr>
      <w:r>
        <w:t xml:space="preserve">Media</w:t>
      </w:r>
    </w:p>
    <w:bookmarkStart w:id="408" w:name="but-2"/>
    <w:p>
      <w:pPr>
        <w:pStyle w:val="berschrift3"/>
      </w:pPr>
      <w:r>
        <w:t xml:space="preserve">But</w:t>
      </w:r>
    </w:p>
    <w:p>
      <w:pPr>
        <w:pStyle w:val="FirstParagraph"/>
      </w:pPr>
      <w:r>
        <w:t xml:space="preserve">Référence des fichiers médias (audio, vidéo, documents) se rapportant aux activités parlementaires.</w:t>
      </w:r>
    </w:p>
    <w:bookmarkEnd w:id="408"/>
    <w:bookmarkStart w:id="409"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9"/>
    <w:bookmarkStart w:id="41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0"/>
    <w:bookmarkStart w:id="41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1"/>
    <w:bookmarkStart w:id="415" w:name="classe-textsegment"/>
    <w:p>
      <w:pPr>
        <w:pStyle w:val="berschrift3"/>
      </w:pPr>
      <w:r>
        <w:t xml:space="preserve">Classe: TextSegment</w:t>
      </w:r>
      <w:r>
        <w:t xml:space="preserve"> </w:t>
      </w:r>
      <w:bookmarkStart w:id="412" w:name="TextSegment"/>
      <w:bookmarkEnd w:id="412"/>
    </w:p>
    <w:p>
      <w:pPr>
        <w:pStyle w:val="FirstParagraph"/>
      </w:pPr>
      <w:r>
        <w:rPr>
          <w:i/>
          <w:iCs/>
        </w:rPr>
        <w:t xml:space="preserve">Un segment de texte tel qu’un renvoi ou un intertitre dans un procès-verbal de séance.</w:t>
      </w:r>
    </w:p>
    <w:bookmarkStart w:id="413"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3"/>
    <w:bookmarkStart w:id="414"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4"/>
    <w:bookmarkEnd w:id="415"/>
    <w:bookmarkStart w:id="418" w:name="classe-media"/>
    <w:p>
      <w:pPr>
        <w:pStyle w:val="berschrift3"/>
      </w:pPr>
      <w:r>
        <w:t xml:space="preserve">Classe: Media</w:t>
      </w:r>
      <w:r>
        <w:t xml:space="preserve"> </w:t>
      </w:r>
      <w:bookmarkStart w:id="416" w:name="Media"/>
      <w:bookmarkEnd w:id="416"/>
    </w:p>
    <w:p>
      <w:pPr>
        <w:pStyle w:val="FirstParagraph"/>
      </w:pPr>
      <w:r>
        <w:rPr>
          <w:i/>
          <w:iCs/>
        </w:rPr>
        <w:t xml:space="preserve">Fichiers médias ou documents (y compris les procès-verbaux en PDF/HTML/WORD ou les liens vers des contenus audio/vidéo).</w:t>
      </w:r>
    </w:p>
    <w:bookmarkStart w:id="417"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7"/>
    <w:p>
      <w:r>
        <w:br w:type="page"/>
      </w:r>
    </w:p>
    <w:bookmarkEnd w:id="418"/>
    <w:bookmarkEnd w:id="419"/>
    <w:bookmarkEnd w:id="420"/>
    <w:bookmarkStart w:id="450" w:name="éléments-partagés"/>
    <w:p>
      <w:pPr>
        <w:pStyle w:val="berschrift1"/>
      </w:pPr>
      <w:r>
        <w:t xml:space="preserve">Éléments partagés</w:t>
      </w:r>
    </w:p>
    <w:bookmarkStart w:id="431"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5" w:name="classe-personreference"/>
    <w:p>
      <w:pPr>
        <w:pStyle w:val="berschrift3"/>
      </w:pPr>
      <w:r>
        <w:t xml:space="preserve">Classe: PersonReference</w:t>
      </w:r>
      <w:r>
        <w:t xml:space="preserve"> </w:t>
      </w:r>
      <w:bookmarkStart w:id="421" w:name="PersonReference"/>
      <w:bookmarkEnd w:id="421"/>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3"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2"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2"/>
    <w:bookmarkEnd w:id="423"/>
    <w:bookmarkStart w:id="424"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4"/>
    <w:bookmarkEnd w:id="425"/>
    <w:bookmarkStart w:id="430" w:name="classe-groupreference"/>
    <w:p>
      <w:pPr>
        <w:pStyle w:val="berschrift3"/>
      </w:pPr>
      <w:r>
        <w:t xml:space="preserve">Classe: GroupReference</w:t>
      </w:r>
      <w:r>
        <w:t xml:space="preserve"> </w:t>
      </w:r>
      <w:bookmarkStart w:id="426" w:name="GroupReference"/>
      <w:bookmarkEnd w:id="426"/>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8"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7"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7"/>
    <w:bookmarkEnd w:id="428"/>
    <w:bookmarkStart w:id="429"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9"/>
    <w:bookmarkEnd w:id="430"/>
    <w:bookmarkEnd w:id="431"/>
    <w:bookmarkStart w:id="436"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5" w:name="classe-multilingualstring"/>
    <w:p>
      <w:pPr>
        <w:pStyle w:val="berschrift3"/>
      </w:pPr>
      <w:r>
        <w:t xml:space="preserve">Classe: MultilingualString</w:t>
      </w:r>
      <w:r>
        <w:t xml:space="preserve"> </w:t>
      </w:r>
      <w:bookmarkStart w:id="432" w:name="MultilingualString"/>
      <w:bookmarkEnd w:id="432"/>
    </w:p>
    <w:p>
      <w:pPr>
        <w:pStyle w:val="FirstParagraph"/>
      </w:pPr>
      <w:r>
        <w:rPr>
          <w:i/>
          <w:iCs/>
        </w:rPr>
        <w:t xml:space="preserve">Une chaîne de caractères pouvant contenir du texte en plusieurs langues.</w:t>
      </w:r>
    </w:p>
    <w:bookmarkStart w:id="433"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3"/>
    <w:bookmarkStart w:id="434"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4"/>
    <w:bookmarkEnd w:id="435"/>
    <w:bookmarkEnd w:id="436"/>
    <w:bookmarkStart w:id="449"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40" w:name="classe-hasidentification"/>
    <w:p>
      <w:pPr>
        <w:pStyle w:val="berschrift3"/>
      </w:pPr>
      <w:r>
        <w:t xml:space="preserve">Classe: HasIdentification</w:t>
      </w:r>
      <w:r>
        <w:t xml:space="preserve"> </w:t>
      </w:r>
      <w:bookmarkStart w:id="437" w:name="HasIdentification"/>
      <w:bookmarkEnd w:id="437"/>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8"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8"/>
    <w:bookmarkStart w:id="439"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9"/>
    <w:bookmarkEnd w:id="440"/>
    <w:bookmarkStart w:id="444" w:name="classe-hascreationmodificationdates"/>
    <w:p>
      <w:pPr>
        <w:pStyle w:val="berschrift3"/>
      </w:pPr>
      <w:r>
        <w:t xml:space="preserve">Classe: HasCreationModificationDates</w:t>
      </w:r>
      <w:r>
        <w:t xml:space="preserve"> </w:t>
      </w:r>
      <w:bookmarkStart w:id="441" w:name="HasCreationModificationDates"/>
      <w:bookmarkEnd w:id="441"/>
    </w:p>
    <w:p>
      <w:pPr>
        <w:pStyle w:val="FirstParagraph"/>
      </w:pPr>
      <w:r>
        <w:rPr>
          <w:i/>
          <w:iCs/>
        </w:rPr>
        <w:t xml:space="preserve">Une classe mixin qui fournit des slots pour modéliser les dates de création et de modification d’une entité.</w:t>
      </w:r>
    </w:p>
    <w:bookmarkStart w:id="442"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2"/>
    <w:bookmarkStart w:id="443"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3"/>
    <w:bookmarkEnd w:id="444"/>
    <w:bookmarkStart w:id="448" w:name="classe-iseventwithduration"/>
    <w:p>
      <w:pPr>
        <w:pStyle w:val="berschrift3"/>
      </w:pPr>
      <w:r>
        <w:t xml:space="preserve">Classe: IsEventWithDuration</w:t>
      </w:r>
      <w:r>
        <w:t xml:space="preserve"> </w:t>
      </w:r>
      <w:bookmarkStart w:id="445" w:name="IsEventWithDuration"/>
      <w:bookmarkEnd w:id="445"/>
    </w:p>
    <w:p>
      <w:pPr>
        <w:pStyle w:val="FirstParagraph"/>
      </w:pPr>
      <w:r>
        <w:rPr>
          <w:i/>
          <w:iCs/>
        </w:rPr>
        <w:t xml:space="preserve">Une classe mixin qui fournit des slots pour modéliser des événements ou occurrences avec une durée.</w:t>
      </w:r>
    </w:p>
    <w:bookmarkStart w:id="446"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6"/>
    <w:bookmarkStart w:id="447"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7"/>
    <w:p>
      <w:r>
        <w:br w:type="page"/>
      </w:r>
    </w:p>
    <w:bookmarkEnd w:id="448"/>
    <w:bookmarkEnd w:id="449"/>
    <w:bookmarkEnd w:id="450"/>
    <w:bookmarkStart w:id="460"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6"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5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2">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4">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5">
              <w:r>
                <w:rPr>
                  <w:rStyle w:val="Hyperlink"/>
                </w:rPr>
                <w:t xml:space="preserve">https://www.ech.ch/de/ech/ech-0297</w:t>
              </w:r>
            </w:hyperlink>
          </w:p>
        </w:tc>
      </w:tr>
    </w:tbl>
    <w:bookmarkEnd w:id="456"/>
    <w:bookmarkStart w:id="459"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8">
              <w:r>
                <w:rPr>
                  <w:rStyle w:val="Hyperlink"/>
                </w:rPr>
                <w:t xml:space="preserve">https://linkml.io</w:t>
              </w:r>
            </w:hyperlink>
          </w:p>
        </w:tc>
      </w:tr>
    </w:tbl>
    <w:bookmarkEnd w:id="459"/>
    <w:bookmarkEnd w:id="4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2026-09-15T23:56:17Z</dcterms:created>
  <dcterms:modified xsi:type="dcterms:W3CDTF">2026-09-15T23:56:17Z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