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(format eCH-0097 : CHE-XXX.XXX.XXX) issu du registre fédéral IDE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1c70b61a01d8ae89b649534fb9fddffac253dfe"/>
    <w:p>
      <w:pPr>
        <w:pStyle w:val="berschrift4"/>
      </w:pPr>
      <w:r>
        <w:t xml:space="preserve">Exemple : Groupe parlementaire renvoyant au parlement dont il relève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c5a941499bf8f5a460d922e03cdacbd64d5aa7"/>
    <w:p>
      <w:pPr>
        <w:pStyle w:val="berschrift4"/>
      </w:pPr>
      <w:r>
        <w:t xml:space="preserve">Exemple : Parti cantonal constituant un groupe propre à son niveau fédéral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Trois règles s’appliquent aux types de groupes et d’organisations politiques.</w:t>
      </w:r>
    </w:p>
    <w:p>
      <w:pPr>
        <w:pStyle w:val="Textkrper"/>
      </w:pPr>
      <w:r>
        <w:rPr>
          <w:i/>
          <w:iCs/>
        </w:rPr>
        <w:t xml:space="preserve">La valeur désigne la fonction politique ; la désignation locale relève du libellé du groupe. Büro, Ratsleitung et Ufficio presidenziale reçoivent donc tous la valeur</w:t>
      </w:r>
      <w:r>
        <w:rPr>
          <w:i/>
          <w:iCs/>
        </w:rPr>
        <w:t xml:space="preserve"> </w:t>
      </w:r>
      <w:r>
        <w:rPr>
          <w:rStyle w:val="VerbatimChar"/>
          <w:i/>
          <w:iCs/>
        </w:rPr>
        <w:t xml:space="preserve">council_bureau</w:t>
      </w:r>
      <w:r>
        <w:rPr>
          <w:i/>
          <w:iCs/>
        </w:rPr>
        <w:t xml:space="preserve">.</w:t>
      </w:r>
    </w:p>
    <w:p>
      <w:pPr>
        <w:pStyle w:val="Textkrper"/>
      </w:pPr>
      <w:r>
        <w:rPr>
          <w:i/>
          <w:iCs/>
        </w:rPr>
        <w:t xml:space="preserve">Les valeurs apparentées partagent un préfixe. La famille</w:t>
      </w:r>
      <w:r>
        <w:rPr>
          <w:i/>
          <w:iCs/>
        </w:rPr>
        <w:t xml:space="preserve"> </w:t>
      </w:r>
      <w:r>
        <w:rPr>
          <w:rStyle w:val="VerbatimChar"/>
          <w:i/>
          <w:iCs/>
        </w:rPr>
        <w:t xml:space="preserve">council_</w:t>
      </w:r>
      <w:r>
        <w:rPr>
          <w:i/>
          <w:iCs/>
        </w:rPr>
        <w:t xml:space="preserve"> </w:t>
      </w:r>
      <w:r>
        <w:rPr>
          <w:i/>
          <w:iCs/>
        </w:rPr>
        <w:t xml:space="preserve">ne distingue pas selon le conseil : une chancellerie d’État et les services du parlement sont tous deux</w:t>
      </w:r>
      <w:r>
        <w:rPr>
          <w:i/>
          <w:iCs/>
        </w:rPr>
        <w:t xml:space="preserve"> </w:t>
      </w:r>
      <w:r>
        <w:rPr>
          <w:rStyle w:val="VerbatimChar"/>
          <w:i/>
          <w:iCs/>
        </w:rPr>
        <w:t xml:space="preserve">council_secretariat</w:t>
      </w:r>
      <w:r>
        <w:rPr>
          <w:i/>
          <w:iCs/>
        </w:rPr>
        <w:t xml:space="preserve">, le rattachement ressortant de</w:t>
      </w:r>
      <w:r>
        <w:rPr>
          <w:i/>
          <w:iCs/>
        </w:rPr>
        <w:t xml:space="preserve"> </w:t>
      </w:r>
      <w:r>
        <w:rPr>
          <w:rStyle w:val="VerbatimChar"/>
          <w:i/>
          <w:iCs/>
        </w:rPr>
        <w:t xml:space="preserve">parent_groups</w:t>
      </w:r>
      <w:r>
        <w:rPr>
          <w:i/>
          <w:iCs/>
        </w:rPr>
        <w:t xml:space="preserve">. Elle se subdivise en</w:t>
      </w:r>
      <w:r>
        <w:rPr>
          <w:i/>
          <w:iCs/>
        </w:rPr>
        <w:t xml:space="preserve"> </w:t>
      </w:r>
      <w:r>
        <w:rPr>
          <w:rStyle w:val="VerbatimChar"/>
          <w:i/>
          <w:iCs/>
        </w:rPr>
        <w:t xml:space="preserve">council_presidency</w:t>
      </w:r>
      <w:r>
        <w:rPr>
          <w:i/>
          <w:iCs/>
        </w:rPr>
        <w:t xml:space="preserve"> </w:t>
      </w:r>
      <w:r>
        <w:rPr>
          <w:i/>
          <w:iCs/>
        </w:rPr>
        <w:t xml:space="preserve">pour la présidence,</w:t>
      </w:r>
      <w:r>
        <w:rPr>
          <w:i/>
          <w:iCs/>
        </w:rPr>
        <w:t xml:space="preserve"> </w:t>
      </w:r>
      <w:r>
        <w:rPr>
          <w:rStyle w:val="VerbatimChar"/>
          <w:i/>
          <w:iCs/>
        </w:rPr>
        <w:t xml:space="preserve">council_bureau</w:t>
      </w:r>
      <w:r>
        <w:rPr>
          <w:i/>
          <w:iCs/>
        </w:rPr>
        <w:t xml:space="preserve"> </w:t>
      </w:r>
      <w:r>
        <w:rPr>
          <w:i/>
          <w:iCs/>
        </w:rPr>
        <w:t xml:space="preserve">pour l’organe de direction élargi à la représentation des groupes et</w:t>
      </w:r>
      <w:r>
        <w:rPr>
          <w:i/>
          <w:iCs/>
        </w:rPr>
        <w:t xml:space="preserve"> </w:t>
      </w:r>
      <w:r>
        <w:rPr>
          <w:rStyle w:val="VerbatimChar"/>
          <w:i/>
          <w:iCs/>
        </w:rPr>
        <w:t xml:space="preserve">council_secretariat</w:t>
      </w:r>
      <w:r>
        <w:rPr>
          <w:i/>
          <w:iCs/>
        </w:rPr>
        <w:t xml:space="preserve"> </w:t>
      </w:r>
      <w:r>
        <w:rPr>
          <w:i/>
          <w:iCs/>
        </w:rPr>
        <w:t xml:space="preserve">pour l’unité administrative composée d’employés. La famille</w:t>
      </w:r>
      <w:r>
        <w:rPr>
          <w:i/>
          <w:iCs/>
        </w:rPr>
        <w:t xml:space="preserve"> </w:t>
      </w:r>
      <w:r>
        <w:rPr>
          <w:rStyle w:val="VerbatimChar"/>
          <w:i/>
          <w:iCs/>
        </w:rPr>
        <w:t xml:space="preserve">committee_</w:t>
      </w:r>
      <w:r>
        <w:rPr>
          <w:i/>
          <w:iCs/>
        </w:rPr>
        <w:t xml:space="preserve"> </w:t>
      </w:r>
      <w:r>
        <w:rPr>
          <w:i/>
          <w:iCs/>
        </w:rPr>
        <w:t xml:space="preserve">suit le même modèle, avec</w:t>
      </w:r>
      <w:r>
        <w:rPr>
          <w:i/>
          <w:iCs/>
        </w:rPr>
        <w:t xml:space="preserve"> </w:t>
      </w:r>
      <w:r>
        <w:rPr>
          <w:rStyle w:val="VerbatimChar"/>
          <w:i/>
          <w:iCs/>
        </w:rPr>
        <w:t xml:space="preserve">committee</w:t>
      </w:r>
      <w:r>
        <w:rPr>
          <w:i/>
          <w:iCs/>
        </w:rPr>
        <w:t xml:space="preserve"> </w:t>
      </w:r>
      <w:r>
        <w:rPr>
          <w:i/>
          <w:iCs/>
        </w:rPr>
        <w:t xml:space="preserve">comme cas de base.</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5"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52"/>
    <w:bookmarkStart w:id="256"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5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58"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7"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1" w:name="classes-utilisées-à-plusieurs-reprises"/>
    <w:p>
      <w:pPr>
        <w:pStyle w:val="berschrift2"/>
      </w:pPr>
      <w:r>
        <w:t xml:space="preserve">Classes utilisées à plusieurs reprises</w:t>
      </w:r>
    </w:p>
    <w:bookmarkEnd w:id="261"/>
    <w:bookmarkStart w:id="268"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63"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2"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2"/>
    <w:bookmarkEnd w:id="263"/>
    <w:bookmarkStart w:id="264"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exemples-4"/>
    <w:p>
      <w:pPr>
        <w:pStyle w:val="berschrift3"/>
      </w:pPr>
      <w:r>
        <w:t xml:space="preserve">Exemples</w:t>
      </w:r>
    </w:p>
    <w:bookmarkStart w:id="265"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69">
        <w:r>
          <w:rPr>
            <w:rStyle w:val="Hyperlink"/>
          </w:rPr>
          <w:t xml:space="preserve">act:AddressTypeEnum</w:t>
        </w:r>
      </w:hyperlink>
    </w:p>
    <w:bookmarkStart w:id="270"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70"/>
    <w:bookmarkEnd w:id="271"/>
    <w:bookmarkStart w:id="274"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72"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2"/>
    <w:bookmarkStart w:id="273"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bookmarkEnd w:id="274"/>
    <w:bookmarkEnd w:id="275"/>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2026-08-08T18:01:57Z</dcterms:created>
  <dcterms:modified xsi:type="dcterms:W3CDTF">2026-08-08T18:01:57Z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