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5bde4d8f52d9ce4a796eb9740948fe56b2795d8"/>
    <w:p>
      <w:pPr>
        <w:pStyle w:val="berschrift4"/>
      </w:pPr>
      <w:r>
        <w:t xml:space="preserve">Beispiel: Kantonsparlament als übergeordnete Gruppe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beispiel-ratsbüro"/>
    <w:p>
      <w:pPr>
        <w:pStyle w:val="berschrift4"/>
      </w:pPr>
      <w:r>
        <w:t xml:space="preserve">Beispiel: Ratsbüro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ee13dbbd4ab186dab02f3865a23133cac3ff854"/>
    <w:p>
      <w:pPr>
        <w:pStyle w:val="berschrift4"/>
      </w:pPr>
      <w:r>
        <w:t xml:space="preserve">Beispiel: Fraktion mit Verweis auf Parlament und tragende Parteien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b3d56a339411dde170b8715500d0e30eae8c83b"/>
    <w:p>
      <w:pPr>
        <w:pStyle w:val="berschrift4"/>
      </w:pPr>
      <w:r>
        <w:t xml:space="preserve">Beispiel: Staatskanzlei als Stabsstelle der Exekutive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beispiel-exekutivrat-eines-kantons"/>
    <w:p>
      <w:pPr>
        <w:pStyle w:val="berschrift4"/>
      </w:pPr>
      <w:r>
        <w:t xml:space="preserve">Beispiel: Exekutivrat eines Kantons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5"/>
    <w:bookmarkStart w:id="136"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3832bece7fea84b7dff7b5bce415e3422ecd83f"/>
    <w:p>
      <w:pPr>
        <w:pStyle w:val="berschrift4"/>
      </w:pPr>
      <w:r>
        <w:t xml:space="preserve">Beispiel: Kommission mit gebräuchlicher Abkürzung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7"/>
    <w:bookmarkStart w:id="138"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Typen politischer Gruppen und Organisationen. Für dieses Vokabular gelten drei Konventionen.</w:t>
      </w:r>
    </w:p>
    <w:p>
      <w:pPr>
        <w:pStyle w:val="Textkrper"/>
      </w:pPr>
      <w:r>
        <w:t xml:space="preserve">__</w:t>
      </w:r>
    </w:p>
    <w:p>
      <w:pPr>
        <w:pStyle w:val="Textkrper"/>
      </w:pPr>
      <w:r>
        <w:rPr>
          <w:i/>
          <w:iCs/>
        </w:rPr>
        <w:t xml:space="preserve">Erstens benennt der Wert die politische Funktion, während die örtlich verwendete Bezeichnung im Label der Gruppe erhalten bleibt. Dasselbe Organ heisst im einen Kanton Büro, im andern Ratsleitung oder Geschäftsleitung, im Tessin Ufficio presidenziale; alle werden als council_bureau erfasst, damit sie über Kantone und Ebenen hinweg vergleichbar bleiben, ohne dass die örtliche Benennung verloren geht.</w:t>
      </w:r>
    </w:p>
    <w:p>
      <w:pPr>
        <w:pStyle w:val="Textkrper"/>
      </w:pPr>
      <w:r>
        <w:t xml:space="preserve">__</w:t>
      </w:r>
    </w:p>
    <w:p>
      <w:pPr>
        <w:pStyle w:val="Textkrper"/>
      </w:pPr>
      <w:r>
        <w:rPr>
          <w:i/>
          <w:iCs/>
        </w:rPr>
        <w:t xml:space="preserve">Zweitens tragen zusammengehörende Werte ein gemeinsames Präfix. Die Familie council</w:t>
      </w:r>
      <w:r>
        <w:t xml:space="preserve"> </w:t>
      </w:r>
      <w:r>
        <w:t xml:space="preserve">umfasst die Räte und ihre Organe und unterscheidet bewusst nicht nach Rat: Eine Staatskanzlei bedient die Exekutive, die Parlamentsdienste bedienen die Legislative, beide sind aber ein council_secretariat. Welchem Rat ein Organ zugehört, ergibt sich aus der übergeordneten Gruppe, nicht aus dem Typ. Gleich verhält sich die Familie committee_, mit committee als Grundfall und committee_ad_hoc sowie committee_extraparliamentary als dessen Sonderformen._</w:t>
      </w:r>
    </w:p>
    <w:p>
      <w:pPr>
        <w:pStyle w:val="Textkrper"/>
      </w:pPr>
      <w:r>
        <w:t xml:space="preserve">__</w:t>
      </w:r>
    </w:p>
    <w:p>
      <w:pPr>
        <w:pStyle w:val="Textkrper"/>
      </w:pPr>
      <w:r>
        <w:rPr>
          <w:i/>
          <w:iCs/>
        </w:rPr>
        <w:t xml:space="preserve">Drittens hält dieses Vokabular keine Rechtsform fest. Ob eine Organisation ein Verein, eine Stiftung oder eine Aktiengesellschaft ist, wird in legal_form über die Codeliste des eidgenössischen UID-Registers angegeben; group_type bleibt der politischen Funktion vorbehalten.</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52"/>
    <w:bookmarkStart w:id="25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3"/>
    <w:bookmarkStart w:id="25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56"/>
    <w:bookmarkStart w:id="25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mehrfach-benutzte-klassen"/>
    <w:p>
      <w:pPr>
        <w:pStyle w:val="berschrift2"/>
      </w:pPr>
      <w:r>
        <w:t xml:space="preserve">Mehrfach benutzte Klassen</w:t>
      </w:r>
    </w:p>
    <w:bookmarkEnd w:id="259"/>
    <w:bookmarkStart w:id="266"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beispiele-4"/>
    <w:p>
      <w:pPr>
        <w:pStyle w:val="berschrift3"/>
      </w:pPr>
      <w:r>
        <w:t xml:space="preserve">Beispiele</w:t>
      </w:r>
    </w:p>
    <w:bookmarkStart w:id="263"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8"/>
    <w:bookmarkEnd w:id="269"/>
    <w:bookmarkStart w:id="272"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0"/>
    <w:bookmarkStart w:id="271"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2026-07-28T12:22:48Z</dcterms:created>
  <dcterms:modified xsi:type="dcterms:W3CDTF">2026-07-28T12:22:48Z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