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8c38f2b7c08fab7227e329402390309cd591cf8"/>
    <w:p>
      <w:pPr>
        <w:pStyle w:val="berschrift4"/>
      </w:pPr>
      <w:r>
        <w:t xml:space="preserve">Example: Cantonal parliament as a superordinate group</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db28ec376d931403e499391f61b1cb7e53977b7"/>
    <w:p>
      <w:pPr>
        <w:pStyle w:val="berschrift4"/>
      </w:pPr>
      <w:r>
        <w:t xml:space="preserve">Example: State chancellery as the staff unit of the executive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example-executive-council-of-a-canton"/>
    <w:p>
      <w:pPr>
        <w:pStyle w:val="berschrift4"/>
      </w:pPr>
      <w:r>
        <w:t xml:space="preserve">Example: Executive council of a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d8655eb3d77dcae1b3785254b34d14363e4589"/>
    <w:p>
      <w:pPr>
        <w:pStyle w:val="berschrift4"/>
      </w:pPr>
      <w:r>
        <w:t xml:space="preserve">Example: Committee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7"/>
    <w:bookmarkStart w:id="138"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 Three conventions govern this vocabulary.</w:t>
      </w:r>
    </w:p>
    <w:p>
      <w:pPr>
        <w:pStyle w:val="Textkrper"/>
      </w:pPr>
      <w:r>
        <w:t xml:space="preserve">__</w:t>
      </w:r>
    </w:p>
    <w:p>
      <w:pPr>
        <w:pStyle w:val="Textkrper"/>
      </w:pPr>
      <w:r>
        <w:rPr>
          <w:i/>
          <w:iCs/>
        </w:rPr>
        <w:t xml:space="preserve">First, the value states the political function, while the designation used locally is preserved in the group’s label. The same body is called Büro in one canton, Ratsleitung or Geschäftsleitung in another, Ufficio presidenziale in Ticino; all of these are recorded as council_bureau so that they remain comparable across cantons and levels, without the local name being lost.</w:t>
      </w:r>
    </w:p>
    <w:p>
      <w:pPr>
        <w:pStyle w:val="Textkrper"/>
      </w:pPr>
      <w:r>
        <w:t xml:space="preserve">__</w:t>
      </w:r>
    </w:p>
    <w:p>
      <w:pPr>
        <w:pStyle w:val="Textkrper"/>
      </w:pPr>
      <w:r>
        <w:rPr>
          <w:i/>
          <w:iCs/>
        </w:rPr>
        <w:t xml:space="preserve">Second, values that belong together share a prefix. The council</w:t>
      </w:r>
      <w:r>
        <w:t xml:space="preserve"> </w:t>
      </w:r>
      <w:r>
        <w:t xml:space="preserve">family covers the councils and their bodies, and it deliberately does not distinguish by council: a state chancellery serves the executive, parliamentary services serve the legislature, yet both are a council_secretariat. Which council a body belongs to follows from its parent group, not from its type. The committee_ family works the same way, with committee as the base case and committee_ad_hoc and committee_extraparliamentary as its qualified variants._</w:t>
      </w:r>
    </w:p>
    <w:p>
      <w:pPr>
        <w:pStyle w:val="Textkrper"/>
      </w:pPr>
      <w:r>
        <w:t xml:space="preserve">__</w:t>
      </w:r>
    </w:p>
    <w:p>
      <w:pPr>
        <w:pStyle w:val="Textkrper"/>
      </w:pPr>
      <w:r>
        <w:rPr>
          <w:i/>
          <w:iCs/>
        </w:rPr>
        <w:t xml:space="preserve">Third, this vocabulary does not record legal form. Whether an organization is an association, a foundation or a public limited company is stated in legal_form using the code list of the federal UID register; group_type remains reserved for the political function.</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2026-07-28T12:22:56Z</dcterms:created>
  <dcterms:modified xsi:type="dcterms:W3CDTF">2026-07-28T12:22:56Z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