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de groupes et d’organisations politiques. Trois conventions régissent ce vocabulaire.</w:t>
      </w:r>
    </w:p>
    <w:p>
      <w:pPr>
        <w:pStyle w:val="Textkrper"/>
      </w:pPr>
      <w:r>
        <w:t xml:space="preserve">__</w:t>
      </w:r>
    </w:p>
    <w:p>
      <w:pPr>
        <w:pStyle w:val="Textkrper"/>
      </w:pPr>
      <w:r>
        <w:rPr>
          <w:i/>
          <w:iCs/>
        </w:rPr>
        <w:t xml:space="preserve">Premièrement, la valeur désigne la fonction politique, tandis que la désignation employée localement est conservée dans le libellé du groupe. Le même organe s’appelle Büro dans un canton, Ratsleitung ou Geschäftsleitung dans un autre, Ufficio presidenziale au Tessin ; tous sont saisis comme council_bureau, afin qu’ils restent comparables par-delà les cantons et les niveaux, sans que la désignation locale se perde.</w:t>
      </w:r>
    </w:p>
    <w:p>
      <w:pPr>
        <w:pStyle w:val="Textkrper"/>
      </w:pPr>
      <w:r>
        <w:t xml:space="preserve">__</w:t>
      </w:r>
    </w:p>
    <w:p>
      <w:pPr>
        <w:pStyle w:val="Textkrper"/>
      </w:pPr>
      <w:r>
        <w:rPr>
          <w:i/>
          <w:iCs/>
        </w:rPr>
        <w:t xml:space="preserve">Deuxièmement, les valeurs qui vont ensemble partagent un préfixe. La famille council</w:t>
      </w:r>
      <w:r>
        <w:t xml:space="preserve"> </w:t>
      </w:r>
      <w:r>
        <w:t xml:space="preserve">regroupe les conseils et leurs organes et ne distingue délibérément pas selon le conseil : une chancellerie d’État sert l’exécutif, les services du parlement servent le législatif, mais les deux sont un council_secretariat. Le conseil auquel un organe se rattache ressort du groupe supérieur, non du type. La famille committee_ fonctionne de même, avec committee comme cas de base et committee_ad_hoc ainsi que committee_extraparliamentary comme variantes qualifiées._</w:t>
      </w:r>
    </w:p>
    <w:p>
      <w:pPr>
        <w:pStyle w:val="Textkrper"/>
      </w:pPr>
      <w:r>
        <w:t xml:space="preserve">__</w:t>
      </w:r>
    </w:p>
    <w:p>
      <w:pPr>
        <w:pStyle w:val="Textkrper"/>
      </w:pPr>
      <w:r>
        <w:rPr>
          <w:i/>
          <w:iCs/>
        </w:rPr>
        <w:t xml:space="preserve">Troisièmement, ce vocabulaire ne consigne pas la forme juridique. Qu’une organisation soit une association, une fondation ou une société anonyme s’indique dans legal_form au moyen de la liste de codes du registre IDE fédéral ; group_type reste réservé à la fonction politique.</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2"/>
    <w:bookmarkStart w:id="25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classes-utilisées-à-plusieurs-reprises"/>
    <w:p>
      <w:pPr>
        <w:pStyle w:val="berschrift2"/>
      </w:pPr>
      <w:r>
        <w:t xml:space="preserve">Classes utilisées à plusieurs reprises</w:t>
      </w:r>
    </w:p>
    <w:bookmarkEnd w:id="259"/>
    <w:bookmarkStart w:id="26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emples-4"/>
    <w:p>
      <w:pPr>
        <w:pStyle w:val="berschrift3"/>
      </w:pPr>
      <w:r>
        <w:t xml:space="preserve">Exemples</w:t>
      </w:r>
    </w:p>
    <w:bookmarkStart w:id="263"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8"/>
    <w:bookmarkEnd w:id="269"/>
    <w:bookmarkStart w:id="27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0"/>
    <w:bookmarkStart w:id="27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2026-07-28T12:22:52Z</dcterms:created>
  <dcterms:modified xsi:type="dcterms:W3CDTF">2026-07-28T12:22:52Z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