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2026-08-10</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zusammenfassung"/>
    <w:p>
      <w:pPr>
        <w:pStyle w:val="berschrift1"/>
      </w:pPr>
      <w:r>
        <w:t xml:space="preserve">Zusammenfassung</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3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9" w:name="klasse-person"/>
    <w:p>
      <w:pPr>
        <w:pStyle w:val="berschrift2"/>
      </w:pPr>
      <w:r>
        <w:t xml:space="preserve">Klasse: Person</w:t>
      </w:r>
      <w:r>
        <w:t xml:space="preserve"> </w:t>
      </w:r>
      <w:bookmarkStart w:id="29" w:name="Person"/>
      <w:bookmarkEnd w:id="29"/>
    </w:p>
    <w:p>
      <w:pPr>
        <w:pStyle w:val="FirstParagraph"/>
      </w:pPr>
      <w:r>
        <w:rPr>
          <w:i/>
          <w:iCs/>
        </w:rPr>
        <w:t xml:space="preserve">Eine Person mit Identifikatoren, Namen, Adressen, Staatsbürgerschaften und Berufen.</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0"/>
    <w:bookmarkStart w:id="31" w:name="verwendungen"/>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beispiele"/>
    <w:p>
      <w:pPr>
        <w:pStyle w:val="berschrift3"/>
      </w:pPr>
      <w:r>
        <w:t xml:space="preserve">Beispiele</w:t>
      </w:r>
    </w:p>
    <w:bookmarkStart w:id="32"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5"/>
    <w:bookmarkStart w:id="36"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6"/>
    <w:bookmarkStart w:id="37"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7"/>
    <w:bookmarkEnd w:id="38"/>
    <w:bookmarkEnd w:id="39"/>
    <w:bookmarkStart w:id="43" w:name="klasse-name"/>
    <w:p>
      <w:pPr>
        <w:pStyle w:val="berschrift2"/>
      </w:pPr>
      <w:r>
        <w:t xml:space="preserve">Klasse: Name</w:t>
      </w:r>
      <w:r>
        <w:t xml:space="preserve"> </w:t>
      </w:r>
      <w:bookmarkStart w:id="40" w:name="Name"/>
      <w:bookmarkEnd w:id="40"/>
    </w:p>
    <w:p>
      <w:pPr>
        <w:pStyle w:val="FirstParagraph"/>
      </w:pPr>
      <w:r>
        <w:rPr>
          <w:i/>
          <w:iCs/>
        </w:rPr>
        <w:t xml:space="preserve">Ein Name mit einem Typ (z.B. Rufname, amtlicher Name) und einem Wert und einer zeitlichen Gültigkeit.</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41"/>
    <w:bookmarkStart w:id="42"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5">
        <w:r>
          <w:rPr>
            <w:rStyle w:val="Hyperlink"/>
          </w:rPr>
          <w:t xml:space="preserve">act:NameTypeEnum</w:t>
        </w:r>
      </w:hyperlink>
    </w:p>
    <w:bookmarkStart w:id="5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klasse-languageproficiency"/>
    <w:p>
      <w:pPr>
        <w:pStyle w:val="berschrift2"/>
      </w:pPr>
      <w:r>
        <w:t xml:space="preserve">Klasse: LanguageProficiency</w:t>
      </w:r>
      <w:r>
        <w:t xml:space="preserve"> </w:t>
      </w:r>
      <w:bookmarkStart w:id="59" w:name="LanguageProficiency"/>
      <w:bookmarkEnd w:id="59"/>
    </w:p>
    <w:p>
      <w:pPr>
        <w:pStyle w:val="FirstParagraph"/>
      </w:pPr>
      <w:r>
        <w:rPr>
          <w:i/>
          <w:iCs/>
        </w:rPr>
        <w:t xml:space="preserve">Sprachkenntnisse einer Person mit Angabe der Sprache und ob es sich um die bevorzugte Sprache oder die Muttersprache handelt.</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es sich um die Muttersprache handelt.</w:t>
            </w:r>
          </w:p>
        </w:tc>
      </w:tr>
    </w:tbl>
    <w:bookmarkEnd w:id="60"/>
    <w:bookmarkStart w:id="61"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klasse-citizenship"/>
    <w:p>
      <w:pPr>
        <w:pStyle w:val="berschrift2"/>
      </w:pPr>
      <w:r>
        <w:t xml:space="preserve">Klasse: Citizenship</w:t>
      </w:r>
      <w:r>
        <w:t xml:space="preserve"> </w:t>
      </w:r>
      <w:bookmarkStart w:id="63" w:name="Citizenship"/>
      <w:bookmarkEnd w:id="63"/>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4"/>
    <w:bookmarkStart w:id="65"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klasse-gender"/>
    <w:p>
      <w:pPr>
        <w:pStyle w:val="berschrift2"/>
      </w:pPr>
      <w:r>
        <w:t xml:space="preserve">Klasse: Gender</w:t>
      </w:r>
      <w:r>
        <w:t xml:space="preserve"> </w:t>
      </w:r>
      <w:bookmarkStart w:id="67" w:name="Gender"/>
      <w:bookmarkEnd w:id="67"/>
    </w:p>
    <w:p>
      <w:pPr>
        <w:pStyle w:val="FirstParagraph"/>
      </w:pPr>
      <w:r>
        <w:rPr>
          <w:i/>
          <w:iCs/>
        </w:rPr>
        <w:t xml:space="preserve">Geschlecht einer Person mit Angabe eines Geschlechtscodes und der zeitlichen Gültigkeit.</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8"/>
    <w:bookmarkStart w:id="69"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72">
        <w:r>
          <w:rPr>
            <w:rStyle w:val="Hyperlink"/>
          </w:rPr>
          <w:t xml:space="preserve">act:GenderCodeEnum</w:t>
        </w:r>
      </w:hyperlink>
    </w:p>
    <w:bookmarkStart w:id="75"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75"/>
    <w:bookmarkEnd w:id="76"/>
    <w:bookmarkStart w:id="84" w:name="klasse-occupation"/>
    <w:p>
      <w:pPr>
        <w:pStyle w:val="berschrift2"/>
      </w:pPr>
      <w:r>
        <w:t xml:space="preserve">Klasse: Occupation</w:t>
      </w:r>
      <w:r>
        <w:t xml:space="preserve"> </w:t>
      </w:r>
      <w:bookmarkStart w:id="77" w:name="Occupation"/>
      <w:bookmarkEnd w:id="77"/>
    </w:p>
    <w:p>
      <w:pPr>
        <w:pStyle w:val="FirstParagraph"/>
      </w:pPr>
      <w:r>
        <w:rPr>
          <w:i/>
          <w:iCs/>
        </w:rPr>
        <w:t xml:space="preserve">Beruf oder Tätigkeit einer Person mit Angabe eines Labels, eines ISCO-19 Codes, ob die Tätigkeit bezahlt ist, und der zeitlichen Gültigkeit.</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der Organisation oder des Unternehmens mit der Sprache, in der er publiziert wird. Zweisprachige Register führen den Namen in beiden Sprachen; erfasst wird pro Sprache ein Eintrag.</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8"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verwendungen-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beispiele-1"/>
    <w:p>
      <w:pPr>
        <w:pStyle w:val="berschrift3"/>
      </w:pPr>
      <w:r>
        <w:t xml:space="preserve">Beispiele</w:t>
      </w:r>
    </w:p>
    <w:bookmarkStart w:id="81"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klasse-training"/>
    <w:p>
      <w:pPr>
        <w:pStyle w:val="berschrift2"/>
      </w:pPr>
      <w:r>
        <w:t xml:space="preserve">Klasse: Training</w:t>
      </w:r>
      <w:r>
        <w:t xml:space="preserve"> </w:t>
      </w:r>
      <w:bookmarkStart w:id="85" w:name="Training"/>
      <w:bookmarkEnd w:id="85"/>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86"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91">
        <w:r>
          <w:rPr>
            <w:rStyle w:val="Hyperlink"/>
          </w:rPr>
          <w:t xml:space="preserve">act:TrainingTypeEnum</w:t>
        </w:r>
      </w:hyperlink>
    </w:p>
    <w:bookmarkStart w:id="13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34"/>
    <w:p>
      <w:r>
        <w:br w:type="page"/>
      </w:r>
    </w:p>
    <w:bookmarkEnd w:id="135"/>
    <w:bookmarkEnd w:id="136"/>
    <w:bookmarkStart w:id="18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51" w:name="klasse-group"/>
    <w:p>
      <w:pPr>
        <w:pStyle w:val="berschrift2"/>
      </w:pPr>
      <w:r>
        <w:t xml:space="preserve">Klasse: Group</w:t>
      </w:r>
      <w:r>
        <w:t xml:space="preserve"> </w:t>
      </w:r>
      <w:bookmarkStart w:id="137" w:name="Group"/>
      <w:bookmarkEnd w:id="137"/>
    </w:p>
    <w:p>
      <w:pPr>
        <w:pStyle w:val="FirstParagraph"/>
      </w:pPr>
      <w:r>
        <w:rPr>
          <w:i/>
          <w:iCs/>
        </w:rPr>
        <w:t xml:space="preserve">Eine politische Gruppe, Organisation oder Körperschaft (z.B. Partei, Kommission, Parlament, Departement).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38"/>
    <w:bookmarkStart w:id="139" w:name="verwendungen-7"/>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beispiele-2"/>
    <w:p>
      <w:pPr>
        <w:pStyle w:val="berschrift3"/>
      </w:pPr>
      <w:r>
        <w:t xml:space="preserve">Beispiele</w:t>
      </w:r>
    </w:p>
    <w:bookmarkStart w:id="140"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0"/>
    <w:bookmarkStart w:id="141"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1"/>
    <w:bookmarkStart w:id="142"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2"/>
    <w:bookmarkStart w:id="143"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3"/>
    <w:bookmarkStart w:id="144"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4"/>
    <w:bookmarkStart w:id="145"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5"/>
    <w:bookmarkStart w:id="146"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7"/>
    <w:bookmarkStart w:id="148"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8"/>
    <w:bookmarkStart w:id="149"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9"/>
    <w:bookmarkEnd w:id="150"/>
    <w:bookmarkEnd w:id="151"/>
    <w:bookmarkStart w:id="155" w:name="klasse-grouptype"/>
    <w:p>
      <w:pPr>
        <w:pStyle w:val="berschrift2"/>
      </w:pPr>
      <w:r>
        <w:t xml:space="preserve">Klasse: GroupType</w:t>
      </w:r>
      <w:r>
        <w:t xml:space="preserve"> </w:t>
      </w:r>
      <w:bookmarkStart w:id="152" w:name="GroupType"/>
      <w:bookmarkEnd w:id="152"/>
    </w:p>
    <w:p>
      <w:pPr>
        <w:pStyle w:val="FirstParagraph"/>
      </w:pPr>
      <w:r>
        <w:rPr>
          <w:i/>
          <w:iCs/>
        </w:rPr>
        <w:t xml:space="preserve">Art der Gruppe (z.B. Partei, Kommission, Parlament, Departement).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53"/>
    <w:bookmarkStart w:id="154" w:name="verwendungen-8"/>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96" w:name="klasse-membership"/>
    <w:p>
      <w:pPr>
        <w:pStyle w:val="berschrift2"/>
      </w:pPr>
      <w:r>
        <w:t xml:space="preserve">Klasse: Membership</w:t>
      </w:r>
      <w:r>
        <w:t xml:space="preserve"> </w:t>
      </w:r>
      <w:bookmarkStart w:id="184" w:name="Membership"/>
      <w:bookmarkEnd w:id="184"/>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85"/>
    <w:bookmarkStart w:id="186" w:name="verwendungen-9"/>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beispiele-3"/>
    <w:p>
      <w:pPr>
        <w:pStyle w:val="berschrift3"/>
      </w:pPr>
      <w:r>
        <w:t xml:space="preserve">Beispiele</w:t>
      </w:r>
    </w:p>
    <w:bookmarkStart w:id="187"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7"/>
    <w:bookmarkStart w:id="188"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8"/>
    <w:bookmarkStart w:id="189"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0"/>
    <w:bookmarkStart w:id="191"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klasse-roletype"/>
    <w:p>
      <w:pPr>
        <w:pStyle w:val="berschrift2"/>
      </w:pPr>
      <w:r>
        <w:t xml:space="preserve">Klasse: RoleType</w:t>
      </w:r>
      <w:r>
        <w:t xml:space="preserve"> </w:t>
      </w:r>
      <w:bookmarkStart w:id="197" w:name="RoleType"/>
      <w:bookmarkEnd w:id="197"/>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9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Rollen, die eine Person im Rahmen einer Mitgliedschaft haben kann.</w:t>
      </w:r>
    </w:p>
    <w:p>
      <w:pPr>
        <w:pStyle w:val="Textkrper"/>
      </w:pPr>
      <w:r>
        <w:t xml:space="preserve">URI:</w:t>
      </w:r>
      <w:r>
        <w:t xml:space="preserve"> </w:t>
      </w:r>
      <w:hyperlink ns1:id="rId204">
        <w:r>
          <w:rPr>
            <w:rStyle w:val="Hyperlink"/>
          </w:rPr>
          <w:t xml:space="preserve">act:RoleEnum</w:t>
        </w:r>
      </w:hyperlink>
    </w:p>
    <w:bookmarkStart w:id="205"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205"/>
    <w:bookmarkEnd w:id="206"/>
    <w:bookmarkStart w:id="213" w:name="klasse-electoraldistrict"/>
    <w:p>
      <w:pPr>
        <w:pStyle w:val="berschrift2"/>
      </w:pPr>
      <w:r>
        <w:t xml:space="preserve">Klasse: ElectoralDistrict</w:t>
      </w:r>
      <w:r>
        <w:t xml:space="preserve"> </w:t>
      </w:r>
      <w:bookmarkStart w:id="207" w:name="ElectoralDistrict"/>
      <w:bookmarkEnd w:id="207"/>
    </w:p>
    <w:p>
      <w:pPr>
        <w:pStyle w:val="FirstParagraph"/>
      </w:pPr>
      <w:r>
        <w:rPr>
          <w:i/>
          <w:iCs/>
        </w:rPr>
        <w:t xml:space="preserve">Wahlkreis oder Wahlregion, die einer Mitgliedschaft zugeordnet ist. Die zeitliche Gültigkeit wird von der umschliessenden Mitgliedschaft übernommen.</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208"/>
    <w:bookmarkStart w:id="20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beispiele-4"/>
    <w:p>
      <w:pPr>
        <w:pStyle w:val="berschrift3"/>
      </w:pPr>
      <w:r>
        <w:t xml:space="preserve">Beispiele</w:t>
      </w:r>
    </w:p>
    <w:bookmarkStart w:id="210"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215">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Zweisprachige Register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Freiburg, Wallis und Bern publizieren Organisationsname, Gremium und Funktion in zwei Sprachen — in der Sammlung von openparldata.ch betrifft das rund 5000 der knapp 30 000 Einträge. Die drei Angaben sind deshalb wie die Gruppenbezeichnung mehrsprachig geführt: ein Eintrag je publizierter Sprache, ohne dass etwas übersetzt wird.</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30" w:name="klasse-interestlink"/>
    <w:p>
      <w:pPr>
        <w:pStyle w:val="berschrift2"/>
      </w:pPr>
      <w:r>
        <w:t xml:space="preserve">Klasse: InterestLink</w:t>
      </w:r>
      <w:r>
        <w:t xml:space="preserve"> </w:t>
      </w:r>
      <w:bookmarkStart w:id="216" w:name="InterestLink"/>
      <w:bookmarkEnd w:id="216"/>
    </w:p>
    <w:p>
      <w:pPr>
        <w:pStyle w:val="FirstParagraph"/>
      </w:pPr>
      <w:r>
        <w:rPr>
          <w:i/>
          <w:iCs/>
        </w:rPr>
        <w:t xml:space="preserve">Eine Interessenbindung (Interessenkonflikt, Politikfinanzierung) einer Person zu einer Organisation ausserhalb des Akteur-Schemas.</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der Organisation oder des Unternehmens mit der Sprache, in der er publiziert wird. Zweisprachige Register führen den Namen in beiden Sprachen; erfasst wird pro Sprache ein Eintrag.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Gremium innerhalb der Organisation (z.B. Verwaltungsrat, Stiftungsrat, Vorstand, Aufsichtsrat, Beirat, Geschäftsleitung) mit der Sprache, in der es publiziert wird; erfasst wird pro Sprache ein Eintrag.</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Funktion oder Rolle in der Organisation (z.B. Präsident/in, Vizepräsident/in, Mitglied, Delegierter, Geschäftsführer/in, Berater/in) mit der Sprache, in der sie publiziert wird; erfasst wird pro Sprache ein Eintrag.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217"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beispiele-5"/>
    <w:p>
      <w:pPr>
        <w:pStyle w:val="berschrift3"/>
      </w:pPr>
      <w:r>
        <w:t xml:space="preserve">Beispiele</w:t>
      </w:r>
    </w:p>
    <w:bookmarkStart w:id="220"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0"/>
    <w:bookmarkStart w:id="221"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1"/>
    <w:bookmarkStart w:id="222"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2"/>
    <w:bookmarkStart w:id="223"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3"/>
    <w:bookmarkStart w:id="224"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4"/>
    <w:bookmarkStart w:id="225"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5"/>
    <w:bookmarkStart w:id="226"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Start w:id="227"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7"/>
    <w:bookmarkStart w:id="228"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Typen von Interessenbindungen (Interessenkonflikte, Politikfinanzierung).</w:t>
      </w:r>
    </w:p>
    <w:p>
      <w:pPr>
        <w:pStyle w:val="Textkrper"/>
      </w:pPr>
      <w:r>
        <w:t xml:space="preserve">URI:</w:t>
      </w:r>
      <w:r>
        <w:t xml:space="preserve"> </w:t>
      </w:r>
      <w:hyperlink ns1:id="rId232">
        <w:r>
          <w:rPr>
            <w:rStyle w:val="Hyperlink"/>
          </w:rPr>
          <w:t xml:space="preserve">act:InterestTypeEnum</w:t>
        </w:r>
      </w:hyperlink>
    </w:p>
    <w:bookmarkStart w:id="23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geteilte-elemente"/>
    <w:p>
      <w:pPr>
        <w:pStyle w:val="berschrift1"/>
      </w:pPr>
      <w:r>
        <w:t xml:space="preserve">Geteilte Elemente</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84"/>
    <w:bookmarkStart w:id="289" w:name="klasse-personreference"/>
    <w:p>
      <w:pPr>
        <w:pStyle w:val="berschrift2"/>
      </w:pPr>
      <w:r>
        <w:t xml:space="preserve">Klasse: PersonReference</w:t>
      </w:r>
      <w:r>
        <w:t xml:space="preserve"> </w:t>
      </w:r>
      <w:bookmarkStart w:id="285" w:name="PersonReference"/>
      <w:bookmarkEnd w:id="285"/>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28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klasse-groupreference"/>
    <w:p>
      <w:pPr>
        <w:pStyle w:val="berschrift2"/>
      </w:pPr>
      <w:r>
        <w:t xml:space="preserve">Klasse: GroupReference</w:t>
      </w:r>
      <w:r>
        <w:t xml:space="preserve"> </w:t>
      </w:r>
      <w:bookmarkStart w:id="290" w:name="GroupReference"/>
      <w:bookmarkEnd w:id="290"/>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291"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95">
        <w:r>
          <w:rPr>
            <w:rStyle w:val="Hyperlink"/>
          </w:rPr>
          <w:t xml:space="preserve">Such-API von geo.admin.ch</w:t>
        </w:r>
      </w:hyperlink>
      <w:r>
        <w:t xml:space="preserve"> </w:t>
      </w:r>
      <w:r>
        <w:t xml:space="preserve">benutzen oder mit dem</w:t>
      </w:r>
      <w:r>
        <w:t xml:space="preserve"> </w:t>
      </w:r>
      <w:hyperlink ns1:id="rId296">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97"/>
    <w:bookmarkStart w:id="305" w:name="klasse-address"/>
    <w:p>
      <w:pPr>
        <w:pStyle w:val="berschrift2"/>
      </w:pPr>
      <w:r>
        <w:t xml:space="preserve">Klasse: Address</w:t>
      </w:r>
      <w:r>
        <w:t xml:space="preserve"> </w:t>
      </w:r>
      <w:bookmarkStart w:id="298" w:name="Address"/>
      <w:bookmarkEnd w:id="298"/>
    </w:p>
    <w:p>
      <w:pPr>
        <w:pStyle w:val="FirstParagraph"/>
      </w:pPr>
      <w:r>
        <w:rPr>
          <w:i/>
          <w:iCs/>
        </w:rPr>
        <w:t xml:space="preserve">Eine Adresse mit einem Typ (z.B. Privatadresse, Geschäftsadresse) und einem Wert.</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Ländercode.</w:t>
            </w:r>
          </w:p>
        </w:tc>
      </w:tr>
    </w:tbl>
    <w:bookmarkStart w:id="299"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verwendungen-1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beispiele-6"/>
    <w:p>
      <w:pPr>
        <w:pStyle w:val="berschrift3"/>
      </w:pPr>
      <w:r>
        <w:t xml:space="preserve">Beispiele</w:t>
      </w:r>
    </w:p>
    <w:bookmarkStart w:id="302"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2"/>
    <w:bookmarkStart w:id="303"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Adresstypen.</w:t>
      </w:r>
    </w:p>
    <w:p>
      <w:pPr>
        <w:pStyle w:val="Textkrper"/>
      </w:pPr>
      <w:r>
        <w:t xml:space="preserve">URI:</w:t>
      </w:r>
      <w:r>
        <w:t xml:space="preserve"> </w:t>
      </w:r>
      <w:hyperlink ns1:id="rId307">
        <w:r>
          <w:rPr>
            <w:rStyle w:val="Hyperlink"/>
          </w:rPr>
          <w:t xml:space="preserve">act:AddressTypeEnum</w:t>
        </w:r>
      </w:hyperlink>
    </w:p>
    <w:bookmarkStart w:id="308"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308"/>
    <w:bookmarkEnd w:id="309"/>
    <w:bookmarkStart w:id="313" w:name="klasse-contact"/>
    <w:p>
      <w:pPr>
        <w:pStyle w:val="berschrift2"/>
      </w:pPr>
      <w:r>
        <w:t xml:space="preserve">Klasse: Contact</w:t>
      </w:r>
      <w:r>
        <w:t xml:space="preserve"> </w:t>
      </w:r>
      <w:bookmarkStart w:id="310" w:name="Contact"/>
      <w:bookmarkEnd w:id="310"/>
    </w:p>
    <w:p>
      <w:pPr>
        <w:pStyle w:val="FirstParagraph"/>
      </w:pPr>
      <w:r>
        <w:rPr>
          <w:i/>
          <w:iCs/>
        </w:rPr>
        <w:t xml:space="preserve">Kontaktinformation einer Person mit Angabe eines Typs (z.B. E-Mail, LinkedIn) und eines Werts.</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bl>
    <w:bookmarkEnd w:id="311"/>
    <w:bookmarkStart w:id="312" w:name="verwendungen-1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klassen"/>
    <w:p>
      <w:pPr>
        <w:pStyle w:val="berschrift2"/>
      </w:pPr>
      <w:r>
        <w:t xml:space="preserve">Mixin-Klassen</w:t>
      </w:r>
    </w:p>
    <w:p>
      <w:pPr>
        <w:pStyle w:val="FirstParagraph"/>
      </w:pPr>
      <w:r>
        <w:t xml:space="preserve">Vier Klassen tragen keine eigenen Daten, sondern bündeln Slots, die in vielen Klassen gleich aussehen: die Identifikation einer Entität, die Identifikation einer Referenz, die zeitliche Gültigkeit und die Erstellungs- und Änderungsdaten. Sie stammen aus dem gemeinsamen Schema der Fachgruppe (eCH-0292) und werden von den Standards der Fachgruppe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vier folgenden Abschnitte erklären, was hinter dieser Angabe steht.</w:t>
      </w:r>
    </w:p>
    <w:bookmarkEnd w:id="314"/>
    <w:bookmarkStart w:id="318" w:name="klasse-hasidentification"/>
    <w:p>
      <w:pPr>
        <w:pStyle w:val="berschrift2"/>
      </w:pPr>
      <w:r>
        <w:t xml:space="preserve">Klasse: HasIdentification</w:t>
      </w:r>
      <w:r>
        <w:t xml:space="preserve"> </w:t>
      </w:r>
      <w:bookmarkStart w:id="315" w:name="HasIdentification"/>
      <w:bookmarkEnd w:id="315"/>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16"/>
    <w:bookmarkStart w:id="317" w:name="mixin-verwendung"/>
    <w:p>
      <w:pPr>
        <w:pStyle w:val="berschrift3"/>
      </w:pPr>
      <w:r>
        <w:t xml:space="preserve">Mixin-Verwendung</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klasse-hasreferenceidentification"/>
    <w:p>
      <w:pPr>
        <w:pStyle w:val="berschrift2"/>
      </w:pPr>
      <w:r>
        <w:t xml:space="preserve">Klasse: HasReferenceIdentification</w:t>
      </w:r>
      <w:r>
        <w:t xml:space="preserve"> </w:t>
      </w:r>
      <w:bookmarkStart w:id="319" w:name="HasReferenceIdentification"/>
      <w:bookmarkEnd w:id="319"/>
    </w:p>
    <w:p>
      <w:pPr>
        <w:pStyle w:val="FirstParagraph"/>
      </w:pPr>
      <w:r>
        <w:rPr>
          <w:i/>
          <w:iCs/>
        </w:rPr>
        <w:t xml:space="preserve">Eine Mixin-Klasse, welche die Slots bereitstellt, mit denen eine Referenz die Entität benennt, auf die sie zeigt. Im Unterschied zu</w:t>
      </w:r>
      <w:r>
        <w:rPr>
          <w:i/>
          <w:iCs/>
        </w:rPr>
        <w:t xml:space="preserve"> </w:t>
      </w:r>
      <w:r>
        <w:rPr>
          <w:rStyle w:val="VerbatimChar"/>
          <w:i/>
          <w:iCs/>
        </w:rPr>
        <w:t xml:space="preserve">HasIdentification</w:t>
      </w:r>
      <w:r>
        <w:rPr>
          <w:i/>
          <w:iCs/>
        </w:rPr>
        <w:t xml:space="preserve"> </w:t>
      </w:r>
      <w:r>
        <w:rPr>
          <w:i/>
          <w:iCs/>
        </w:rPr>
        <w:t xml:space="preserve">identifiziert sie nicht das referenzierende Objekt selbst; deshalb ist</w:t>
      </w:r>
      <w:r>
        <w:rPr>
          <w:i/>
          <w:iCs/>
        </w:rPr>
        <w:t xml:space="preserve"> </w:t>
      </w:r>
      <w:r>
        <w:rPr>
          <w:rStyle w:val="VerbatimChar"/>
          <w:i/>
          <w:iCs/>
        </w:rPr>
        <w:t xml:space="preserve">global_uri</w:t>
      </w:r>
      <w:r>
        <w:rPr>
          <w:i/>
          <w:iCs/>
        </w:rPr>
        <w:t xml:space="preserve"> </w:t>
      </w:r>
      <w:r>
        <w:rPr>
          <w:i/>
          <w:iCs/>
        </w:rPr>
        <w:t xml:space="preserve">hier weder Identifikator noch obligatorisch: Ein System, das nur die lokale Id der referenzierten Entität führt, gibt diese an. Eine Referenzklasse, die diesen Mixin verwendet, soll mindestens eines von beiden verlangen.</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20"/>
    <w:bookmarkStart w:id="321" w:name="mixin-verwendung-1"/>
    <w:p>
      <w:pPr>
        <w:pStyle w:val="berschrift3"/>
      </w:pPr>
      <w:r>
        <w:t xml:space="preserve">Mixin-Verwendung</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klasse-hastemporalvalidity"/>
    <w:p>
      <w:pPr>
        <w:pStyle w:val="berschrift2"/>
      </w:pPr>
      <w:r>
        <w:t xml:space="preserve">Klasse: HasTemporalValidity</w:t>
      </w:r>
      <w:r>
        <w:t xml:space="preserve"> </w:t>
      </w:r>
      <w:bookmarkStart w:id="323" w:name="HasTemporalValidity"/>
      <w:bookmarkEnd w:id="323"/>
    </w:p>
    <w:p>
      <w:pPr>
        <w:pStyle w:val="FirstParagraph"/>
      </w:pPr>
      <w:r>
        <w:rPr>
          <w:i/>
          <w:iCs/>
        </w:rPr>
        <w:t xml:space="preserve">Eine Mixin-Klasse, die Slots für die Modellierung einer zeitlichen Gültigkeit einer Information (nicht eines Events) zur Verfügung stellt.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p>
        </w:tc>
      </w:tr>
    </w:tbl>
    <w:bookmarkEnd w:id="324"/>
    <w:bookmarkStart w:id="325" w:name="mixin-verwendung-2"/>
    <w:p>
      <w:pPr>
        <w:pStyle w:val="berschrift3"/>
      </w:pPr>
      <w:r>
        <w:t xml:space="preserve">Mixin-Verwendung</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klasse-hascreationmodificationdates"/>
    <w:p>
      <w:pPr>
        <w:pStyle w:val="berschrift2"/>
      </w:pPr>
      <w:r>
        <w:t xml:space="preserve">Klasse: HasCreationModificationDates</w:t>
      </w:r>
      <w:r>
        <w:t xml:space="preserve"> </w:t>
      </w:r>
      <w:bookmarkStart w:id="327" w:name="HasCreationModificationDates"/>
      <w:bookmarkEnd w:id="327"/>
    </w:p>
    <w:p>
      <w:pPr>
        <w:pStyle w:val="FirstParagraph"/>
      </w:pPr>
      <w:r>
        <w:rPr>
          <w:i/>
          <w:iCs/>
        </w:rPr>
        <w:t xml:space="preserve">Eine Mixin-Klasse, die Slots für die Modellierung von Erstellungs- und Änderungsdaten einer Entität zur Verfügung stellt.</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328"/>
    <w:bookmarkStart w:id="329" w:name="mixin-verwendung-3"/>
    <w:p>
      <w:pPr>
        <w:pStyle w:val="berschrift3"/>
      </w:pPr>
      <w:r>
        <w:t xml:space="preserve">Mixin-Verwendung</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32" w:name="sicherheitsüberlegungen"/>
    <w:p>
      <w:pPr>
        <w:pStyle w:val="berschrift1"/>
      </w:pPr>
      <w:r>
        <w:t xml:space="preserve">Sicherheitsüberlegungen</w:t>
      </w:r>
    </w:p>
    <w:p>
      <w:pPr>
        <w:pStyle w:val="FirstParagraph"/>
      </w:pPr>
      <w:r>
        <w:t xml:space="preserve">Der vorliegende Standard beschreibt Daten über natürliche Personen. Sie sind Personendaten im Sinne von Art. 5 lit. a des Bundesgesetzes über den Datenschutz (DSG, in Kraft seit 1. September 2023). Angaben zu Parteizugehörigkeit, Mandaten und Interessenbindungen lassen auf politische Ansichten schliessen und gelten als besonders schützenswerte Personendaten (Art. 5 lit. c DSG).</w:t>
      </w:r>
    </w:p>
    <w:p>
      <w:pPr>
        <w:pStyle w:val="Textkrper"/>
      </w:pPr>
      <w:r>
        <w:t xml:space="preserve">Der Standard schafft keine Rechtsgrundlage für eine Veröffentlichung. Er strukturiert Daten, deren Publikation sich aus dem Öffentlichkeitsprinzip, aus Offenlegungspflichten der Parlamente oder aus einer Einwilligung ergibt. Ob ein Datenelement publiziert werden darf, entscheidet die publizierende Stelle, nicht das Schema.</w:t>
      </w:r>
    </w:p>
    <w:p>
      <w:pPr>
        <w:pStyle w:val="Textkrper"/>
      </w:pPr>
      <w:r>
        <w:t xml:space="preserve">Bei der Anwendung sind insbesondere folgende Punkte zu beachten:</w:t>
      </w:r>
    </w:p>
    <w:p>
      <w:pPr>
        <w:pStyle w:val="Compact"/>
        <w:numPr>
          <w:ilvl w:val="0"/>
          <w:numId w:val="1018"/>
        </w:numPr>
      </w:pPr>
      <w:r>
        <w:rPr>
          <w:b/>
          <w:bCs/>
        </w:rPr>
        <w:t xml:space="preserve">Rechtsgrundlage je Element.</w:t>
      </w:r>
      <w:r>
        <w:t xml:space="preserve"> </w:t>
      </w:r>
      <w:r>
        <w:t xml:space="preserve">Nicht jedes Element des Schemas ist in jedem Kontext publizierbar. Die publizierende Stelle prüft für jedes befüllte Element, ob eine gesetzliche Grundlage oder eine Einwilligung vorliegt.</w:t>
      </w:r>
    </w:p>
    <w:p>
      <w:pPr>
        <w:pStyle w:val="Compact"/>
        <w:numPr>
          <w:ilvl w:val="0"/>
          <w:numId w:val="1018"/>
        </w:numPr>
      </w:pPr>
      <w:r>
        <w:rPr>
          <w:b/>
          <w:bCs/>
        </w:rPr>
        <w:t xml:space="preserve">Datensparsamkeit.</w:t>
      </w:r>
      <w:r>
        <w:t xml:space="preserve"> </w:t>
      </w:r>
      <w:r>
        <w:t xml:space="preserve">Optionale Elemente — insbesondere Geburtsdatum, Adresse und Kontaktangaben — sind nur zu befüllen, wenn sie für den Zweck der Publikation erforderlich sind.</w:t>
      </w:r>
    </w:p>
    <w:p>
      <w:pPr>
        <w:pStyle w:val="Compact"/>
        <w:numPr>
          <w:ilvl w:val="0"/>
          <w:numId w:val="1018"/>
        </w:numPr>
      </w:pPr>
      <w:r>
        <w:rPr>
          <w:b/>
          <w:bCs/>
        </w:rPr>
        <w:t xml:space="preserve">Private Wohnadressen.</w:t>
      </w:r>
      <w:r>
        <w:t xml:space="preserve"> </w:t>
      </w:r>
      <w:r>
        <w:t xml:space="preserve">Deren Veröffentlichung ist Gegenstand parlamentarischer Vorstösse (vgl. Anhang A). Wo eine Adresse erforderlich ist, ist wenn möglich eine Geschäfts- oder Zustelladresse zu verwenden.</w:t>
      </w:r>
    </w:p>
    <w:p>
      <w:pPr>
        <w:pStyle w:val="Compact"/>
        <w:numPr>
          <w:ilvl w:val="0"/>
          <w:numId w:val="1018"/>
        </w:numPr>
      </w:pPr>
      <w:r>
        <w:rPr>
          <w:b/>
          <w:bCs/>
        </w:rPr>
        <w:t xml:space="preserve">Aggregation.</w:t>
      </w:r>
      <w:r>
        <w:t xml:space="preserve"> </w:t>
      </w:r>
      <w:r>
        <w:t xml:space="preserve">Das Zusammenführen mehrerer Quellen kann Persönlichkeitsprofile ergeben, die über den Zweck der einzelnen Publikation hinausgehen. Wer Daten nach diesem Standard zusammenführt, prüft die Zweckbindung erneut.</w:t>
      </w:r>
    </w:p>
    <w:p>
      <w:pPr>
        <w:pStyle w:val="Compact"/>
        <w:numPr>
          <w:ilvl w:val="0"/>
          <w:numId w:val="1018"/>
        </w:numPr>
      </w:pPr>
      <w:r>
        <w:rPr>
          <w:b/>
          <w:bCs/>
        </w:rPr>
        <w:t xml:space="preserve">Historische Angaben in Referenzen.</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halten lokale Merkmale zum Zeitpunkt der Verknüpfung fest. Diese dürfen nicht als aktueller Stand interpretiert werden.</w:t>
      </w:r>
    </w:p>
    <w:p>
      <w:pPr>
        <w:pStyle w:val="Compact"/>
        <w:numPr>
          <w:ilvl w:val="0"/>
          <w:numId w:val="1018"/>
        </w:numPr>
      </w:pPr>
      <w:r>
        <w:rPr>
          <w:b/>
          <w:bCs/>
        </w:rPr>
        <w:t xml:space="preserve">Übertragung und Zugriff.</w:t>
      </w:r>
      <w:r>
        <w:t xml:space="preserve"> </w:t>
      </w:r>
      <w:r>
        <w:t xml:space="preserve">Werden Daten nach diesem Standard ausgetauscht, bevor sie öffentlich sind, sind die üblichen Vorkehrungen zu treffen: verschlüsselter Transport, Zugriff nur für autorisierte Personen, Schutz vor Veränderung während der Übertragung.</w:t>
      </w:r>
    </w:p>
    <w:p>
      <w:pPr>
        <w:pStyle w:val="Compact"/>
        <w:numPr>
          <w:ilvl w:val="0"/>
          <w:numId w:val="1018"/>
        </w:numPr>
      </w:pPr>
      <w:r>
        <w:rPr>
          <w:b/>
          <w:bCs/>
        </w:rPr>
        <w:t xml:space="preserve">Verarbeitung fremder Daten.</w:t>
      </w:r>
      <w:r>
        <w:t xml:space="preserve"> </w:t>
      </w:r>
      <w:r>
        <w:t xml:space="preserve">Vor der Weiterverarbeitung eingelesener Lieferungen ist eine Schema-Validierung vorzunehmen. In Freitextfeldern übermittelte Inhalte sind vor der Anzeige zu escapen.</w:t>
      </w:r>
    </w:p>
    <w:p>
      <w:r>
        <w:br w:type="page"/>
      </w:r>
    </w:p>
    <w:bookmarkEnd w:id="332"/>
    <w:bookmarkStart w:id="333" w:name="X7a7cd44f7636750088658f6a550ed57dcb8441f"/>
    <w:p>
      <w:pPr>
        <w:pStyle w:val="berschrift1"/>
      </w:pPr>
      <w:r>
        <w:t xml:space="preserve">Haftungsausschluss/Hinweise auf Rechte Dritter</w:t>
      </w:r>
    </w:p>
    <w:p>
      <w:pPr>
        <w:pStyle w:val="FirstParagraph"/>
      </w:pPr>
      <w:r>
        <w:t xml:space="preserve">eCH-Standards, welche der Verein eCH den Benutzenden zur unentgeltlichen Nutzung zur Verfügung stellen oder welche eCH referenzieren, haben nur den Status von Empfehlungen. Der Verein eCH haftet in keinem Fall für Entscheidungen oder Massnahmen, welche den Benutzenden auf Grund dieser Dokumente trifft und / oder ergreift. Die Benutzenden sind verpflichtet, die Dokumente vor deren Nutzung selbst zu überprüfen und sich gegebenenfalls beraten zu lassen. eCH-Standards können und sollen die technische, organisatorische oder juristische Beratung im konkreten Einzelfall nicht ersetzen.</w:t>
      </w:r>
    </w:p>
    <w:p>
      <w:pPr>
        <w:pStyle w:val="Textkrper"/>
      </w:pPr>
      <w:r>
        <w:t xml:space="preserve">In eCH-Standards referenzierte Dokumente, Verfahren, Methoden, Produkte und Standards sind unter Umständen markenrechtlich, urheberrechtlich oder patentrechtlich geschützt. Es liegt in der ausschliesslichen Verantwortlichkeit der Benutzenden, sich die allenfalls erforderlichen Rechte bei den jeweils berechtigten Personen und/oder Organisationen zu beschaffen.</w:t>
      </w:r>
    </w:p>
    <w:p>
      <w:pPr>
        <w:pStyle w:val="Textkrper"/>
      </w:pPr>
      <w:r>
        <w:t xml:space="preserve">Obwohl der Verein eCH all seine Sorgfalt darauf verwendet, die eCH-Standards sorgfältig auszuarbeiten, kann keine Zusicherung oder Garantie auf Aktualität, Vollständigkeit, Richtigkeit bzw. Fehlerfreiheit der zur Verfügung gestellten Informationen und Dokumente gegeben werden. Der Inhalt von eCH-Standards kann jederzeit und ohne Ankündigung geändert werden.</w:t>
      </w:r>
    </w:p>
    <w:p>
      <w:pPr>
        <w:pStyle w:val="Textkrper"/>
      </w:pPr>
      <w:r>
        <w:t xml:space="preserve">Jede Haftung für Schäden, welche den Benutzenden aus dem Gebrauch der eCH-Standards entstehen, ist, soweit gesetzlich zulässig, wegbedungen.</w:t>
      </w:r>
    </w:p>
    <w:p>
      <w:r>
        <w:br w:type="page"/>
      </w:r>
    </w:p>
    <w:bookmarkEnd w:id="333"/>
    <w:bookmarkStart w:id="334" w:name="urheberrechte"/>
    <w:p>
      <w:pPr>
        <w:pStyle w:val="berschrift1"/>
      </w:pPr>
      <w:r>
        <w:t xml:space="preserve">Urheberrechte</w:t>
      </w:r>
    </w:p>
    <w:p>
      <w:pPr>
        <w:pStyle w:val="FirstParagraph"/>
      </w:pPr>
      <w:r>
        <w:t xml:space="preserve">Wer eCH-Standards erarbeitet, behält das geistige Eigentum an diesen. Allerdings verpflichten sich die Erarbeitenden, ihr betreffendes geistiges Eigentum oder ihre Rechte an geistigem Eigentum anderer, sofern möglich, den jeweiligen Fachgruppen und dem Verein eCH kostenlos zur uneingeschränkten Nutzung und Weiterentwicklung im Rahmen des Vereinszweckes zur Verfügung zu stellen.</w:t>
      </w:r>
    </w:p>
    <w:p>
      <w:pPr>
        <w:pStyle w:val="Textkrper"/>
      </w:pPr>
      <w:r>
        <w:t xml:space="preserve">Die von den Fachgruppen erarbeiteten Standards können unter Nennung der jeweiligen urhebenden Person von eCH unentgeltlich und uneingeschränkt genutzt, weiterverbreitet und weiterentwickelt werden.</w:t>
      </w:r>
    </w:p>
    <w:p>
      <w:pPr>
        <w:pStyle w:val="Textkrper"/>
      </w:pPr>
      <w:r>
        <w:t xml:space="preserve">eCH-Standards sind vollständig dokumentiert und frei von lizenz- und/oder patentrechtlichen Einschränkungen. Die dazugehörige Dokumentation kann unentgeltlich bezogen werden.</w:t>
      </w:r>
    </w:p>
    <w:p>
      <w:pPr>
        <w:pStyle w:val="Textkrper"/>
      </w:pPr>
      <w:r>
        <w:t xml:space="preserve">Diese Bestimmungen gelten ausschliesslich für die von eCH erarbeiteten Standards, nicht jedoch für Standards oder Produkte Dritter, auf welche in den eCH-Standards Bezug genommen wird. Die Standards enthalten die entsprechenden Hinweise auf die Rechte Dritter.</w:t>
      </w:r>
    </w:p>
    <w:p>
      <w:r>
        <w:br w:type="page"/>
      </w:r>
    </w:p>
    <w:bookmarkEnd w:id="334"/>
    <w:bookmarkStart w:id="349"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340"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w:t>
            </w:r>
            <w:r>
              <w:t xml:space="preserve"> </w:t>
            </w:r>
            <w:hyperlink ns1:id="rId335">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w:t>
            </w:r>
            <w:r>
              <w:t xml:space="preserve"> </w:t>
            </w:r>
            <w:hyperlink ns1:id="rId336">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w:t>
            </w:r>
            <w:r>
              <w:t xml:space="preserve"> </w:t>
            </w:r>
            <w:hyperlink ns1:id="rId337">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338">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339">
              <w:r>
                <w:rPr>
                  <w:rStyle w:val="Hyperlink"/>
                </w:rPr>
                <w:t xml:space="preserve">https://www.ech.ch/de/ech/ech-0297</w:t>
              </w:r>
            </w:hyperlink>
          </w:p>
        </w:tc>
      </w:tr>
    </w:tbl>
    <w:bookmarkEnd w:id="340"/>
    <w:bookmarkStart w:id="342"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341">
              <w:r>
                <w:rPr>
                  <w:rStyle w:val="Hyperlink"/>
                </w:rPr>
                <w:t xml:space="preserve">https://www.ech.ch/de/ech/ech-0108/6.0.0</w:t>
              </w:r>
            </w:hyperlink>
          </w:p>
        </w:tc>
      </w:tr>
    </w:tbl>
    <w:bookmarkEnd w:id="342"/>
    <w:bookmarkStart w:id="348"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343">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44">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5">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46">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47">
              <w:r>
                <w:rPr>
                  <w:rStyle w:val="Hyperlink"/>
                </w:rPr>
                <w:t xml:space="preserve">https://linkml.io</w:t>
              </w:r>
            </w:hyperlink>
          </w:p>
        </w:tc>
      </w:tr>
    </w:tbl>
    <w:p>
      <w:r>
        <w:br w:type="page"/>
      </w:r>
    </w:p>
    <w:bookmarkEnd w:id="348"/>
    <w:bookmarkEnd w:id="349"/>
    <w:bookmarkStart w:id="350" w:name="anhang-b-mitarbeit-überprüfung"/>
    <w:p>
      <w:pPr>
        <w:pStyle w:val="berschrift1"/>
      </w:pPr>
      <w:r>
        <w:t xml:space="preserve">Anhang B – Mitarbeit &amp; Überprüfung</w:t>
      </w:r>
    </w:p>
    <w:p>
      <w:pPr>
        <w:pStyle w:val="FirstParagraph"/>
      </w:pPr>
      <w:r>
        <w:t xml:space="preserve">Fachgruppe Politische Geschäfte, Subgruppe Politische Akteure:</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Bundesamt für Statistik</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Universität Zürich, IPZ</w:t>
            </w:r>
          </w:p>
        </w:tc>
      </w:tr>
      <w:tr>
        <w:tc>
          <w:tcPr/>
          <w:p>
            <w:pPr>
              <w:pStyle w:val="Compact"/>
            </w:pPr>
            <w:r>
              <w:t xml:space="preserve">Daniela Koller</w:t>
            </w:r>
          </w:p>
        </w:tc>
        <w:tc>
          <w:tcPr/>
          <w:p>
            <w:pPr>
              <w:pStyle w:val="Compact"/>
            </w:pPr>
            <w:r>
              <w:t xml:space="preserve">Kanton Thurgau</w:t>
            </w:r>
          </w:p>
        </w:tc>
      </w:tr>
      <w:tr>
        <w:tc>
          <w:tcPr>
            <w:shd w:val="clear" w:color="auto" w:fill="F2F2F2"/>
          </w:tcPr>
          <w:p>
            <w:pPr>
              <w:pStyle w:val="Compact"/>
            </w:pPr>
            <w:r>
              <w:t xml:space="preserve">Thomas Roth</w:t>
            </w:r>
          </w:p>
        </w:tc>
        <w:tc>
          <w:tcPr>
            <w:shd w:val="clear" w:color="auto" w:fill="F2F2F2"/>
          </w:tcPr>
          <w:p>
            <w:pPr>
              <w:pStyle w:val="Compact"/>
            </w:pP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Parlamentsdienste</w:t>
            </w:r>
          </w:p>
        </w:tc>
      </w:tr>
      <w:tr>
        <w:tc>
          <w:tcPr/>
          <w:p>
            <w:pPr>
              <w:pStyle w:val="Compact"/>
            </w:pPr>
            <w:r>
              <w:t xml:space="preserve">Orhan Saeedi</w:t>
            </w:r>
          </w:p>
        </w:tc>
        <w:tc>
          <w:tcPr/>
          <w:p>
            <w:pPr>
              <w:pStyle w:val="Compact"/>
            </w:pPr>
            <w:r>
              <w:t xml:space="preserve">Kanton Basel-Stadt</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Bundeskanzlei</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Datum</w:t>
            </w:r>
          </w:p>
        </w:tc>
        <w:tc>
          <w:tcPr/>
          <w:p>
            <w:pPr>
              <w:pStyle w:val="Compact"/>
            </w:pPr>
            <w:r>
              <w:t xml:space="preserve">Ersteller</w:t>
            </w:r>
          </w:p>
        </w:tc>
        <w:tc>
          <w:tcPr/>
          <w:p>
            <w:pPr>
              <w:pStyle w:val="Compact"/>
            </w:pPr>
            <w:r>
              <w:t xml:space="preserve">Bemerkung</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Fachgruppe Politische Geschäfte</w:t>
            </w:r>
          </w:p>
        </w:tc>
        <w:tc>
          <w:tcPr>
            <w:shd w:val="clear" w:color="auto" w:fill="F2F2F2"/>
          </w:tcPr>
          <w:p>
            <w:pPr>
              <w:pStyle w:val="Compact"/>
            </w:pPr>
            <w:r>
              <w:t xml:space="preserve">Einreichung als Vorschlag</w:t>
            </w:r>
          </w:p>
        </w:tc>
      </w:tr>
    </w:tbl>
    <w:bookmarkEnd w:id="350"/>
    <w:bookmarkStart w:id="351" w:name="anhang-c-abkürzungen-und-glossar"/>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DSG</w:t>
            </w:r>
          </w:p>
        </w:tc>
        <w:tc>
          <w:tcPr/>
          <w:p>
            <w:pPr>
              <w:pStyle w:val="Compact"/>
            </w:pPr>
            <w:r>
              <w:t xml:space="preserve">Bundesgesetz über den Datenschutz, in Kraft seit 1. September 2023.</w:t>
            </w:r>
          </w:p>
        </w:tc>
      </w:tr>
      <w:tr>
        <w:tc>
          <w:tcPr>
            <w:shd w:val="clear" w:color="auto" w:fill="F2F2F2"/>
          </w:tcPr>
          <w:p>
            <w:pPr>
              <w:pStyle w:val="Compact"/>
            </w:pPr>
            <w:r>
              <w:t xml:space="preserve">I14Y</w:t>
            </w:r>
          </w:p>
        </w:tc>
        <w:tc>
          <w:tcPr>
            <w:shd w:val="clear" w:color="auto" w:fill="F2F2F2"/>
          </w:tcPr>
          <w:p>
            <w:pPr>
              <w:pStyle w:val="Compact"/>
            </w:pPr>
            <w:r>
              <w:t xml:space="preserve">Interoperabilitätsplattform des Bundesamts für Statistik; Bezugsquelle mehrerer Codelisten.</w:t>
            </w:r>
          </w:p>
        </w:tc>
      </w:tr>
      <w:tr>
        <w:tc>
          <w:tcPr/>
          <w:p>
            <w:pPr>
              <w:pStyle w:val="Compact"/>
            </w:pPr>
            <w:r>
              <w:t xml:space="preserve">IRI</w:t>
            </w:r>
          </w:p>
        </w:tc>
        <w:tc>
          <w:tcPr/>
          <w:p>
            <w:pPr>
              <w:pStyle w:val="Compact"/>
            </w:pPr>
            <w:r>
              <w:t xml:space="preserve">Internationalized Resource Identifier. Erweiterung der URI auf den vollen Unicode-Zeichenvorrat.</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Serialisierung von verknüpften Daten in JSON.</w:t>
            </w:r>
          </w:p>
        </w:tc>
      </w:tr>
      <w:tr>
        <w:tc>
          <w:tcPr/>
          <w:p>
            <w:pPr>
              <w:pStyle w:val="Compact"/>
            </w:pPr>
            <w:r>
              <w:t xml:space="preserve">LINDAS</w:t>
            </w:r>
          </w:p>
        </w:tc>
        <w:tc>
          <w:tcPr/>
          <w:p>
            <w:pPr>
              <w:pStyle w:val="Compact"/>
            </w:pPr>
            <w:r>
              <w:t xml:space="preserve">Linked Data Service der Schweizerischen Bundesverwaltung.</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Modellierungssprache, in der dieser Standard definiert ist.</w:t>
            </w:r>
          </w:p>
        </w:tc>
      </w:tr>
      <w:tr>
        <w:tc>
          <w:tcPr/>
          <w:p>
            <w:pPr>
              <w:pStyle w:val="Compact"/>
            </w:pPr>
            <w:r>
              <w:t xml:space="preserve">NOGA</w:t>
            </w:r>
          </w:p>
        </w:tc>
        <w:tc>
          <w:tcPr/>
          <w:p>
            <w:pPr>
              <w:pStyle w:val="Compact"/>
            </w:pPr>
            <w:r>
              <w:t xml:space="preserve">Allgemeine Systematik der Wirtschaftszweige des Bundesamts für Statistik.</w:t>
            </w:r>
          </w:p>
        </w:tc>
      </w:tr>
      <w:tr>
        <w:tc>
          <w:tcPr>
            <w:shd w:val="clear" w:color="auto" w:fill="F2F2F2"/>
          </w:tcPr>
          <w:p>
            <w:pPr>
              <w:pStyle w:val="Compact"/>
            </w:pPr>
            <w:r>
              <w:t xml:space="preserve">RDF</w:t>
            </w:r>
          </w:p>
        </w:tc>
        <w:tc>
          <w:tcPr>
            <w:shd w:val="clear" w:color="auto" w:fill="F2F2F2"/>
          </w:tcPr>
          <w:p>
            <w:pPr>
              <w:pStyle w:val="Compact"/>
            </w:pPr>
            <w:r>
              <w:t xml:space="preserve">Resource Description Framework. Datenmodell für verknüpfte Daten; hier als Turtle (.ttl) ausgeliefert.</w:t>
            </w:r>
          </w:p>
        </w:tc>
      </w:tr>
      <w:tr>
        <w:tc>
          <w:tcPr/>
          <w:p>
            <w:pPr>
              <w:pStyle w:val="Compact"/>
            </w:pPr>
            <w:r>
              <w:t xml:space="preserve">UID</w:t>
            </w:r>
          </w:p>
        </w:tc>
        <w:tc>
          <w:tcPr/>
          <w:p>
            <w:pPr>
              <w:pStyle w:val="Compact"/>
            </w:pPr>
            <w:r>
              <w:t xml:space="preserve">Unternehmens-Identifikationsnummer. Eindeutiger Schlüssel eines Schweizer Unternehmens gemäss Bundesamt für Statistik.</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Eindeutiger Bezeichner einer Ressource.</w:t>
            </w:r>
          </w:p>
        </w:tc>
      </w:tr>
      <w:tr>
        <w:tc>
          <w:tcPr/>
          <w:p>
            <w:pPr>
              <w:pStyle w:val="Compact"/>
            </w:pPr>
            <w:r>
              <w:t xml:space="preserve">XSD</w:t>
            </w:r>
          </w:p>
        </w:tc>
        <w:tc>
          <w:tcPr/>
          <w:p>
            <w:pPr>
              <w:pStyle w:val="Compact"/>
            </w:pPr>
            <w:r>
              <w:t xml:space="preserve">XML Schema Definition. Empfehlung des W3C zum Definieren von Strukturen für XML-Dokumente.</w:t>
            </w:r>
          </w:p>
        </w:tc>
      </w:tr>
    </w:tbl>
    <w:bookmarkEnd w:id="351"/>
    <w:bookmarkStart w:id="352" w:name="anhang-d-änderungen-gegenüber-vorversion"/>
    <w:p>
      <w:pPr>
        <w:pStyle w:val="berschrift1"/>
      </w:pPr>
      <w:r>
        <w:t xml:space="preserve">Anhang D – Änderungen gegenüber Vorversion</w:t>
      </w:r>
    </w:p>
    <w:p>
      <w:pPr>
        <w:pStyle w:val="FirstParagraph"/>
      </w:pPr>
      <w:r>
        <w:t xml:space="preserve">Dies ist die erste Version.</w:t>
      </w:r>
    </w:p>
    <w:p>
      <w:r>
        <w:br w:type="page"/>
      </w:r>
    </w:p>
    <w:bookmarkEnd w:id="352"/>
    <w:bookmarkStart w:id="353" w:name="anhang-e-abbildungsverzeichnis"/>
    <w:p>
      <w:pPr>
        <w:pStyle w:val="berschrift1"/>
      </w:pPr>
      <w:r>
        <w:t xml:space="preserve">Anhang E – Abbildungsverzeichnis</w:t>
      </w:r>
    </w:p>
    <w:p>
      <w:r>
        <w:fldChar w:fldCharType="begin" w:dirty="true"/>
      </w:r>
      <w:r>
        <w:instrText xml:space="preserve"> TOC \h \z \c "Abbildung" </w:instrText>
      </w:r>
      <w:r>
        <w:fldChar w:fldCharType="separate"/>
      </w:r>
      <w:r>
        <w:t>Rechtsklick &gt; „Felder aktualisieren“, um das Abbildungsverzeichnis zu erzeugen.</w:t>
      </w:r>
      <w:r>
        <w:fldChar w:fldCharType="end"/>
      </w:r>
    </w:p>
    <w:bookmarkEnd w:id="353"/>
    <w:bookmarkStart w:id="354" w:name="anhang-f-tabellenverzeichnis"/>
    <w:p>
      <w:pPr>
        <w:pStyle w:val="berschrift1"/>
      </w:pPr>
      <w:r>
        <w:t xml:space="preserve">Anhang F – Tabellenverzeichnis</w:t>
      </w:r>
    </w:p>
    <w:p>
      <w:r>
        <w:fldChar w:fldCharType="begin" w:dirty="true"/>
      </w:r>
      <w:r>
        <w:instrText xml:space="preserve"> TOC \h \z \c "Tabelle" </w:instrText>
      </w:r>
      <w:r>
        <w:fldChar w:fldCharType="separate"/>
      </w:r>
      <w:r>
        <w:t>Rechtsklick &gt; „Felder aktualisieren“, um das Tabellenverzeichnis zu erzeugen.</w:t>
      </w:r>
      <w:r>
        <w:fldChar w:fldCharType="end"/>
      </w:r>
    </w:p>
    <w:bookmarkEnd w:id="35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4"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7"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6"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41" Target="https://www.ech.ch/de/ech/ech-0108/6.0.0" TargetMode="External" /><Relationship Type="http://schemas.openxmlformats.org/officeDocument/2006/relationships/hyperlink" Id="rId335" Target="https://www.ech.ch/de/ech/ech-0292" TargetMode="External" /><Relationship Type="http://schemas.openxmlformats.org/officeDocument/2006/relationships/hyperlink" Id="rId336" Target="https://www.ech.ch/de/ech/ech-0293" TargetMode="External" /><Relationship Type="http://schemas.openxmlformats.org/officeDocument/2006/relationships/hyperlink" Id="rId337" Target="https://www.ech.ch/de/ech/ech-0295" TargetMode="External" /><Relationship Type="http://schemas.openxmlformats.org/officeDocument/2006/relationships/hyperlink" Id="rId338" Target="https://www.ech.ch/de/ech/ech-0296" TargetMode="External" /><Relationship Type="http://schemas.openxmlformats.org/officeDocument/2006/relationships/hyperlink" Id="rId339" Target="https://www.ech.ch/de/ech/ech-0297" TargetMode="External" /><Relationship Type="http://schemas.openxmlformats.org/officeDocument/2006/relationships/hyperlink" Id="rId343"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5"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4"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7"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6"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41" Target="https://www.ech.ch/de/ech/ech-0108/6.0.0" TargetMode="External" /><Relationship Type="http://schemas.openxmlformats.org/officeDocument/2006/relationships/hyperlink" Id="rId335" Target="https://www.ech.ch/de/ech/ech-0292" TargetMode="External" /><Relationship Type="http://schemas.openxmlformats.org/officeDocument/2006/relationships/hyperlink" Id="rId336" Target="https://www.ech.ch/de/ech/ech-0293" TargetMode="External" /><Relationship Type="http://schemas.openxmlformats.org/officeDocument/2006/relationships/hyperlink" Id="rId337" Target="https://www.ech.ch/de/ech/ech-0295" TargetMode="External" /><Relationship Type="http://schemas.openxmlformats.org/officeDocument/2006/relationships/hyperlink" Id="rId338" Target="https://www.ech.ch/de/ech/ech-0296" TargetMode="External" /><Relationship Type="http://schemas.openxmlformats.org/officeDocument/2006/relationships/hyperlink" Id="rId339" Target="https://www.ech.ch/de/ech/ech-0297" TargetMode="External" /><Relationship Type="http://schemas.openxmlformats.org/officeDocument/2006/relationships/hyperlink" Id="rId343"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5"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2026-09-15T22:44:00Z</dcterms:created>
  <dcterms:modified xsi:type="dcterms:W3CDTF">2026-09-15T22:44:00Z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